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3" w:rsidRDefault="008332C3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760" w:rsidRPr="002F24CA" w:rsidRDefault="00A1476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7118BD" w:rsidRPr="002F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4CA">
        <w:rPr>
          <w:rFonts w:ascii="Times New Roman" w:hAnsi="Times New Roman" w:cs="Times New Roman"/>
          <w:b/>
          <w:sz w:val="28"/>
          <w:szCs w:val="28"/>
        </w:rPr>
        <w:t xml:space="preserve">по хирургической стоматологии </w:t>
      </w:r>
    </w:p>
    <w:p w:rsidR="008332C3" w:rsidRDefault="008D6AC2" w:rsidP="00833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A14760" w:rsidRPr="002F24CA">
        <w:rPr>
          <w:rFonts w:ascii="Times New Roman" w:hAnsi="Times New Roman" w:cs="Times New Roman"/>
          <w:b/>
          <w:sz w:val="28"/>
          <w:szCs w:val="28"/>
        </w:rPr>
        <w:t xml:space="preserve">  занятие  </w:t>
      </w:r>
    </w:p>
    <w:p w:rsidR="00A14760" w:rsidRPr="002F24CA" w:rsidRDefault="00A14760" w:rsidP="002F24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t>4 курс 7семестр</w:t>
      </w:r>
    </w:p>
    <w:tbl>
      <w:tblPr>
        <w:tblpPr w:leftFromText="180" w:rightFromText="180" w:vertAnchor="text" w:horzAnchor="margin" w:tblpX="-677" w:tblpY="2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5"/>
        <w:gridCol w:w="884"/>
      </w:tblGrid>
      <w:tr w:rsidR="00A14760" w:rsidRPr="002F24CA" w:rsidTr="008D7C36">
        <w:trPr>
          <w:trHeight w:val="410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2F24C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Pr="002F24C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14760" w:rsidRPr="002F24CA" w:rsidTr="008D7C36">
        <w:trPr>
          <w:trHeight w:val="712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лимфатического аппарата челюстно-лицевой области. Классификация, этиология, патогенез, клиническая картина, диагностика, дифференциальная диагностика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лимфаденитов челюстно-лицевой области. 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rPr>
          <w:trHeight w:val="552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85" w:type="dxa"/>
          </w:tcPr>
          <w:p w:rsidR="002B600A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Фурункулы и карбункулы челюстно-лицевой области </w:t>
            </w:r>
          </w:p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диагностика фурункулов и карбункулов в челюстно-лицевой области, их осложнения и профилактика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Тяжелые осложнения гнойно-воспалительных процессов челюстно-лицевой области и шеи (сепсис у пациентов с гнойно-воспалительными заболеваниями). Прогнозирование течения гнойно-воспалительных процессов в челюстно-лицевой области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60" w:rsidRPr="002F24CA" w:rsidTr="008D7C36">
        <w:trPr>
          <w:trHeight w:val="898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Актиномикоз челюстно-лицевой области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Этиология, патогенез, классификация актиномикоза челюстно-лицевой области. Клиническая картина, диагностика, дифференциальная диагностика, методы лабораторной и иммунологической диагностики, комплексное лечение.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rPr>
          <w:trHeight w:val="967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5" w:type="dxa"/>
          </w:tcPr>
          <w:p w:rsidR="002B600A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Сифилис, туберкулез, ВИЧ-инфекция в челюстно-лицевой области</w:t>
            </w:r>
          </w:p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клинические проявления, методы лабораторной и иммунологической диагностики сифилиса, туберкулеза, ВИЧ-инфекции в челюстно-лицевой области. Структура оказания медицинской помощи пациентам с сифилисом, туберкулезом, ВИЧ-инфекцией. Профилактика сифилиса, туберкулеза, ВИЧ-инфекции в челюстно-лицевой области.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60" w:rsidRPr="002F24CA" w:rsidTr="008D7C36">
        <w:trPr>
          <w:trHeight w:val="569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слюнных желез. Этиология, патогенез, классификация, клиническая картина, диагностика, дифференциальная диагностика, лечение острых и хронических сиалоаденитов. Профилактика воспалительных болезней слюнных желез и возможных осложнений.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60" w:rsidRPr="002F24CA" w:rsidTr="008D7C36">
        <w:trPr>
          <w:trHeight w:val="975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болезни слюнных желез. 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Слюннокаменная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болезнь. Этиология, патогенез, классификация. Болезнь и синдром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Клинические проявления, диагностика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сиалозов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. Структура оказания специализированной медицинской помощи  пациентам с  дистрофическими болезнями слюнных желез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5" w:type="dxa"/>
          </w:tcPr>
          <w:p w:rsidR="002B600A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Артриты височно-нижнечелюстного сустава</w:t>
            </w:r>
          </w:p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Классификация, этиология, патогенез, клиническая картина, диагностика артритов височно-нижнечелюстного сустава (ВНЧС). Планирование комплексного лечения пациентов с артритами ВНЧС совместно с врачами других специальностей.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60" w:rsidRPr="002F24CA" w:rsidTr="008D7C36">
        <w:trPr>
          <w:trHeight w:val="743"/>
        </w:trPr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Артрозы височно-нижнечелюстного сустава. Клинические проявления и диагностика артрозов ВНЧС. Планирование комплексного лечения пациентов с артрозами ВНЧС совместно с врачами других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дисфункции, внутренние нарушения височно-нижнечелюстного сустава. Клиническая картина мышечно-суставной дисфункции, вывихов челюсти и внутрисуставного диска.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 Этиология, теории патогенеза, механизм формирования боли, клиническая картина, диагностика невралгии тройничного нерва. Принципы консервативных и хирургических методов лечения, сроки и показания к хирургическим методам лечения заболеваний тройничного нерва.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2B600A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Невриты тройничного нерва</w:t>
            </w:r>
          </w:p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диагностика невритов тройничного нерва. Консервативные методы лечения, хирургические методы лечения болезней тройничного нерва (декомпрессия нерва при 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травматическом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сдавлении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инородным телом, костным отломком).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Дентальная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плексалгия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невралгия, невралгия языкоглоточного нерва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 Этиология, теории патогенеза, механизм формирования боли, клиническая картина, диагностика  и принципы консервативных и хирургических методов лечения.                          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Ганглиолит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узла,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прозопалгии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, кластерные боли. Этиология, теории патогенеза, механизм формирования боли, клиническая картина, диагностика  и принципы консервативных и хирургических методов лечения.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болевых синдромов лица. Диагностика наиболее часто встречающихся болевых синдромов лица: дентальная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плексалгия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невралгия, невралгия языкоглоточного нерва,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ганглиолит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узла,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прозопалгии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кластерные боли.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85" w:type="dxa"/>
          </w:tcPr>
          <w:p w:rsidR="00A14760" w:rsidRPr="002F24CA" w:rsidRDefault="002B600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топическая диагностика болевых синдромов лица с применением аппликационных и инъекционных методов анестезии. Схемы лечения пациентов с болевыми синдромами лица.                                                                                             </w:t>
            </w:r>
          </w:p>
        </w:tc>
        <w:tc>
          <w:tcPr>
            <w:tcW w:w="884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14760" w:rsidRPr="002F24CA" w:rsidTr="008D7C36">
        <w:tc>
          <w:tcPr>
            <w:tcW w:w="562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:rsidR="00A14760" w:rsidRPr="002F24CA" w:rsidRDefault="00A147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A14760" w:rsidRPr="002F24CA" w:rsidRDefault="008D7C36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b/>
                <w:sz w:val="24"/>
                <w:szCs w:val="24"/>
              </w:rPr>
              <w:t>30час.</w:t>
            </w:r>
          </w:p>
        </w:tc>
      </w:tr>
    </w:tbl>
    <w:p w:rsidR="00A14760" w:rsidRPr="002F24CA" w:rsidRDefault="00A14760" w:rsidP="002F24CA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0" w:rsidRPr="002F24CA" w:rsidRDefault="00A14760" w:rsidP="002F24CA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0" w:rsidRPr="002F24CA" w:rsidRDefault="00A14760" w:rsidP="002F24CA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2F24CA" w:rsidRDefault="0006412B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F0" w:rsidRDefault="00B36FF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60" w:rsidRPr="002F24CA" w:rsidRDefault="00283C60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по хирургической стоматологии </w:t>
      </w:r>
    </w:p>
    <w:p w:rsidR="00283C60" w:rsidRPr="002F24CA" w:rsidRDefault="00E27868" w:rsidP="002F24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283C60" w:rsidRPr="002F24CA">
        <w:rPr>
          <w:rFonts w:ascii="Times New Roman" w:hAnsi="Times New Roman" w:cs="Times New Roman"/>
          <w:b/>
          <w:sz w:val="28"/>
          <w:szCs w:val="28"/>
        </w:rPr>
        <w:t xml:space="preserve">  занятие  </w:t>
      </w: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4CA">
        <w:rPr>
          <w:rFonts w:ascii="Times New Roman" w:hAnsi="Times New Roman" w:cs="Times New Roman"/>
          <w:b/>
          <w:sz w:val="28"/>
          <w:szCs w:val="28"/>
        </w:rPr>
        <w:t>4 курс 7семестр</w:t>
      </w:r>
    </w:p>
    <w:tbl>
      <w:tblPr>
        <w:tblpPr w:leftFromText="180" w:rightFromText="180" w:vertAnchor="text" w:horzAnchor="margin" w:tblpX="-677" w:tblpY="2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5"/>
        <w:gridCol w:w="884"/>
      </w:tblGrid>
      <w:tr w:rsidR="00283C60" w:rsidRPr="002F24CA" w:rsidTr="00EF66C5">
        <w:trPr>
          <w:trHeight w:val="410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2F24C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Pr="002F24C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83C60" w:rsidRPr="002F24CA" w:rsidTr="00EF66C5">
        <w:trPr>
          <w:trHeight w:val="712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283C60" w:rsidRPr="002F24CA" w:rsidRDefault="00905D23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История становления, современное состояние и перспективы развития стоматологической помощи при воспалительных процессах  ЧЛО. Возможности реабилитации пациентов при воспалительных процессах  ЧЛО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rPr>
          <w:trHeight w:val="552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85" w:type="dxa"/>
          </w:tcPr>
          <w:p w:rsidR="00905D23" w:rsidRPr="002F24CA" w:rsidRDefault="00905D23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лимфадениты челюстно-лицевой области</w:t>
            </w:r>
          </w:p>
          <w:p w:rsidR="00283C60" w:rsidRPr="002F24CA" w:rsidRDefault="00905D23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Топография лимфатического аппарата челюстно-лицевой области. Классификация, этиология, патогенез, клиническая картина, диагностика, дифференциальная диагностика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лимфаденитов челюстно-лицевой области, показания к хирургическому лечению и его методы, лечебная физкультура, физиотерапия и рефлексотерапия в составе комплексного лечения. Экспертиза временной нетрудоспособности, диспансеризация пациентов с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одонтогенными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лимфаденитами челюстно-лицевой области.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5" w:type="dxa"/>
          </w:tcPr>
          <w:p w:rsidR="00905D23" w:rsidRPr="002F24CA" w:rsidRDefault="00905D23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Фурункулы и карбункулы челюстно-лицевой области </w:t>
            </w:r>
          </w:p>
          <w:p w:rsidR="00283C60" w:rsidRPr="002F24CA" w:rsidRDefault="00905D23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диагностика фурункулов и карбункулов в челюстно-лицевой области, их осложнения и профилактика. Комплексное лечение пациентов с фурункулами и карбункулами челюстно-лицевой области,  экспертиза временной нетрудоспособности, диспансеризация.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C60" w:rsidRPr="002F24CA" w:rsidTr="00EF66C5">
        <w:trPr>
          <w:trHeight w:val="898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5" w:type="dxa"/>
          </w:tcPr>
          <w:p w:rsidR="00541F5E" w:rsidRPr="002F24CA" w:rsidRDefault="00541F5E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Тяжелые осложнения гнойно-воспалительных процессов челюстно-лицевой области и шеи (флебит лицевых вен, тромбоз кавернозного синуса) </w:t>
            </w:r>
          </w:p>
          <w:p w:rsidR="00283C60" w:rsidRPr="002F24CA" w:rsidRDefault="00541F5E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Флебит лицевых вен, тромбоз кавернозного синуса: этиология, патогенез, пути распространения инфекции, клиническая картина, специальные методы диагностики, планирование анестезиологического пособия и хирургического лечения.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2F24CA">
        <w:trPr>
          <w:trHeight w:val="842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развития флебита лицевых вен или тромбоза кавернозного синуса у пациентов с острой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одонтогенной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экспертиза временной нетрудоспособности, диспансеризация.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C60" w:rsidRPr="002F24CA" w:rsidTr="00EF66C5">
        <w:trPr>
          <w:trHeight w:val="569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Актиномикоз челюстно-лицевой области </w:t>
            </w:r>
          </w:p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классификация актиномикоза челюстно-лицевой области. Клиническая картина, диагностика, дифференциальная диагностика, методы лабораторной и иммунологической диагностики, комплексное лечение, профилактика актиномикоза челюстно-лицевой области. Экспертиза временной нетрудоспособности, диспансеризация пациентов с актиномикозом челюстно-лицевой области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C60" w:rsidRPr="002F24CA" w:rsidTr="00EF66C5">
        <w:trPr>
          <w:trHeight w:val="975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Туберкулез лица и шеи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CA">
              <w:rPr>
                <w:rFonts w:ascii="Times New Roman" w:hAnsi="Times New Roman" w:cs="Times New Roman"/>
              </w:rPr>
              <w:t xml:space="preserve"> 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клинические проявления, методы лабораторной и иммунологической диагностики туберкулеза.</w:t>
            </w:r>
            <w:r w:rsidRPr="002F24CA">
              <w:rPr>
                <w:rFonts w:ascii="Times New Roman" w:hAnsi="Times New Roman" w:cs="Times New Roman"/>
              </w:rPr>
              <w:t xml:space="preserve"> 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Структура оказания медицинской помощи пациентам с туберкулезом. Профилактика туберкулеза в челюстно-лицевой области.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Сифилис, ВИЧ-инфекция в челюстно-лицевой области</w:t>
            </w:r>
          </w:p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клинические проявления, методы лабораторной и иммунологической диагностики сифилиса, туберкулеза, ВИЧ-инфекции в челюстно-лицевой области. Структура оказания медицинской помощи пациентам с сифилисом, ВИЧ-инфекцией. Профилактика сифилиса, ВИЧ-инфекции в челюстно-лицевой области.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C60" w:rsidRPr="002F24CA" w:rsidTr="00EF66C5">
        <w:trPr>
          <w:trHeight w:val="743"/>
        </w:trPr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слюнных желез. Воспаление слюнных желез (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сиаладенит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).  Эпидемический и бактериальный паротит. Этиология, патогенез, классификация, клиническая картина, диагностика, дифференциальная диагностика, лечение. </w:t>
            </w:r>
            <w:r w:rsidR="002F24C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лимфогенный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паротит и контактный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сиаладенит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и постинфекционный паротит. Этиология, патогенез, классификация, клиническая картина, диагностика, дифференциальная диагностика, лечение.  Профилактика воспалительных болезней слюнных желез </w:t>
            </w:r>
            <w:r w:rsidRPr="002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возможных осложнений.                                                                      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сиаладенит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(паренхиматозный,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протоковый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сиалодохит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) и интерстициальный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сиаладенит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. Этиология, патогенез, клиника и диагностика. Методы лечения.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болезни слюнных желез. Этиология, патогенез, классификация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сиалозов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. Болезнь  Микулича и синдром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Клинические проявления, диагностика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сиалозов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оказания специализированной медицинской помощи  пациентам с  дистрофическими болезнями слюнных желез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Слюннокаменная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болезнь. Этиология, теории патогенеза, клиническая картина, диагностика,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слюннокаменной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болезни. Хирургическая тактика в зависимости от местоположения слюнного конкремента, при обострении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слюннокаменной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болезни.                     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85" w:type="dxa"/>
          </w:tcPr>
          <w:p w:rsidR="00283C60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Артриты височно-нижнечелюстного сустава.   Классификация, этиология, патогенез, клиническая картина, диагностика артритов височно-нижнечелюстного сустава (ВНЧС). Планирование комплексного лечения пациентов с артритами ВНЧС совместно с врачами других специальностей.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Артрозы височно-нижнечелюстного сустава. Клинические проявления и диагностика артрозов ВНЧС. Планирование комплексного лечения пациентов с артрозами ВНЧС совместно с врачами других специальностей.                                                     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Болевой синдром дисфункции, внутренние нарушения височно-нижнечелюстного сустава. Клиническая картина мышечно-суставной дисфункции, вывихов челюсти и внутрисуставного диска. Диагностика, планирование лечения пациентов с болевым синдромом дисфункции, внутренними нарушениями ВНЧС совместно с врачами-терапевтами и врачами-стоматологами-ортопедами.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Невралгия тройничного нерва. Этиология, теории патогенеза, механизм формирования боли, клиническая картина, диагностика невралгии тройничного нерва. Принципы консервативных и хирургических методов лечения, сроки и показания к хирургическим методам лечения заболеваний тройничного нерва.                                                     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Невриты тройничного нерва. Этиология, патогенез, диагностика невритов тройничного нерва. Консервативные методы лечения, хирургические методы лечения болезней тройничного нерва (декомпрессия нерва при 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травматическом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сдавлении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инородным телом, костным отломком сшивание нерва,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фасциальная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мышечная, кожная пластика).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Дентальная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плексалгия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невралгия, невралгия языкоглоточного нерва</w:t>
            </w:r>
            <w:proofErr w:type="gram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 Этиология, теории патогенеза, механизм формирования боли, клиническая картина, диагностика  и принципы консервативных и хирургических методов лечения.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Ганглиолит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узла,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прозопалгии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кластерные боли. Этиология, теории патогенеза, механизм формирования боли, клиническая картина, диагностика  и принципы консервативных и хирургических методов лечения.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болевых синдромов лица. Диагностика наиболее часто встречающихся болевых синдромов лица: дентальная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плексалгия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невралгия, невралгия языкоглоточного нерва,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ганглиолит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 узла, </w:t>
            </w:r>
            <w:proofErr w:type="spellStart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>прозопалгии</w:t>
            </w:r>
            <w:proofErr w:type="spellEnd"/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, кластерные боли.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35725" w:rsidRPr="002F24CA" w:rsidTr="00EF66C5">
        <w:tc>
          <w:tcPr>
            <w:tcW w:w="562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8585" w:type="dxa"/>
          </w:tcPr>
          <w:p w:rsidR="00635725" w:rsidRPr="002F24CA" w:rsidRDefault="00635725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топическая диагностика болевых синдромов лица с применением аппликационных и инъекционных методов анестезии. Схемы лечения пациентов с болевыми синдромами лица.               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635725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283C60" w:rsidRPr="002F24CA" w:rsidTr="00EF66C5">
        <w:tc>
          <w:tcPr>
            <w:tcW w:w="562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:rsidR="00283C60" w:rsidRPr="002F24CA" w:rsidRDefault="00283C60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C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283C60" w:rsidRPr="002F24CA" w:rsidRDefault="002F24CA" w:rsidP="002F24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283C60" w:rsidRPr="002F24CA" w:rsidRDefault="00283C60" w:rsidP="002F24CA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25" w:rsidRPr="002F24CA" w:rsidRDefault="00635725" w:rsidP="002F24CA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C60" w:rsidRPr="002F24CA" w:rsidRDefault="00283C60" w:rsidP="002F24C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83C60" w:rsidRPr="002F24CA" w:rsidSect="00B36F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60"/>
    <w:rsid w:val="0006412B"/>
    <w:rsid w:val="00283C60"/>
    <w:rsid w:val="002B600A"/>
    <w:rsid w:val="002F24CA"/>
    <w:rsid w:val="00331DF8"/>
    <w:rsid w:val="00541F5E"/>
    <w:rsid w:val="00635725"/>
    <w:rsid w:val="007118BD"/>
    <w:rsid w:val="008332C3"/>
    <w:rsid w:val="008D6AC2"/>
    <w:rsid w:val="008D7C36"/>
    <w:rsid w:val="00905D23"/>
    <w:rsid w:val="00A14760"/>
    <w:rsid w:val="00B36FF0"/>
    <w:rsid w:val="00E27868"/>
    <w:rsid w:val="00F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47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4760"/>
  </w:style>
  <w:style w:type="paragraph" w:styleId="a5">
    <w:name w:val="Body Text First Indent"/>
    <w:basedOn w:val="a3"/>
    <w:link w:val="a6"/>
    <w:rsid w:val="00A1476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A14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2017-09-19T03:40:00Z</dcterms:created>
  <dcterms:modified xsi:type="dcterms:W3CDTF">2017-09-19T04:05:00Z</dcterms:modified>
</cp:coreProperties>
</file>