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2" w:rsidRPr="00A6544E" w:rsidRDefault="000E2012" w:rsidP="000E2012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544E">
        <w:rPr>
          <w:rFonts w:ascii="Times New Roman" w:hAnsi="Times New Roman" w:cs="Times New Roman"/>
          <w:b/>
          <w:smallCaps/>
          <w:sz w:val="24"/>
          <w:szCs w:val="24"/>
        </w:rPr>
        <w:t xml:space="preserve">КАЛЕНДАРНО-ТЕМАТИЧЕСКИЙ ПЛАН ЛЕКЦИЙ ПО КАРИЕСОЛОГИИ И </w:t>
      </w:r>
      <w:proofErr w:type="gramStart"/>
      <w:r w:rsidRPr="00A6544E">
        <w:rPr>
          <w:rFonts w:ascii="Times New Roman" w:hAnsi="Times New Roman" w:cs="Times New Roman"/>
          <w:b/>
          <w:smallCaps/>
          <w:sz w:val="24"/>
          <w:szCs w:val="24"/>
        </w:rPr>
        <w:t>ЗАБОЛЕВАНИИ</w:t>
      </w:r>
      <w:proofErr w:type="gramEnd"/>
      <w:r w:rsidRPr="00A6544E">
        <w:rPr>
          <w:rFonts w:ascii="Times New Roman" w:hAnsi="Times New Roman" w:cs="Times New Roman"/>
          <w:b/>
          <w:smallCaps/>
          <w:sz w:val="24"/>
          <w:szCs w:val="24"/>
        </w:rPr>
        <w:t xml:space="preserve"> ТВЕРДЫХ ТКАНЕЙ ЗУБОВ.</w:t>
      </w:r>
      <w:r w:rsidR="00413EC9" w:rsidRPr="00A6544E">
        <w:rPr>
          <w:rFonts w:ascii="Times New Roman" w:hAnsi="Times New Roman" w:cs="Times New Roman"/>
          <w:b/>
          <w:smallCaps/>
          <w:sz w:val="24"/>
          <w:szCs w:val="24"/>
        </w:rPr>
        <w:t xml:space="preserve"> 3-курс 5 семестр</w:t>
      </w:r>
    </w:p>
    <w:p w:rsidR="000E2012" w:rsidRPr="00A6544E" w:rsidRDefault="000E2012" w:rsidP="000E2012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8364"/>
        <w:gridCol w:w="851"/>
        <w:gridCol w:w="850"/>
      </w:tblGrid>
      <w:tr w:rsidR="000E2012" w:rsidRPr="00A6544E" w:rsidTr="006D23C9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Лекция</w:t>
            </w:r>
          </w:p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Распред</w:t>
            </w:r>
            <w:proofErr w:type="spellEnd"/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.</w:t>
            </w:r>
          </w:p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</w:t>
            </w:r>
          </w:p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неделям</w:t>
            </w:r>
          </w:p>
        </w:tc>
      </w:tr>
      <w:tr w:rsidR="000E2012" w:rsidRPr="00A6544E" w:rsidTr="006D23C9">
        <w:tc>
          <w:tcPr>
            <w:tcW w:w="567" w:type="dxa"/>
            <w:vMerge w:val="restart"/>
            <w:shd w:val="clear" w:color="auto" w:fill="auto"/>
            <w:textDirection w:val="btLr"/>
          </w:tcPr>
          <w:p w:rsidR="000E2012" w:rsidRPr="00A6544E" w:rsidRDefault="000E2012" w:rsidP="006D23C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Модуль №1</w:t>
            </w: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spacing w:before="280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>ВВОДНОЕ ЗАНЯТИЕ. ОБОРУДОВАНИЕ КАБИНЕТА ПРОФИЛАКТИКИ СТОМАТОЛОГИЧЕСКИХ ЗАБОЛЕ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softHyphen/>
              <w:t xml:space="preserve">ВАНИЙ.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ЗУБНЫЕ ФОРМУЛЫ. МЕТОДЫ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ОСМОТР ЗУБОВ. ПОКАЗАТЕЛИ, ХАРАКТЕРИЗУЮЩИЕ ЗАБОЛЕВАЕМОСТЬ КАРИЕСОМ: РАС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ПРОСТРАНЕННОСТЬ, ИНТЕНСИВНОСТЬ (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, КПУ, 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КПпУ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кпп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), ПРИРОСТ ИНТЕН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СИВНОСТИ. ОЦЕНКА АКТИВНОСТИ КАРИЕСА ПО МЕТОДИКЕ ВОЗ, Т.Ф. ВИНОГРА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ДОВОЙ. РЕДУКЦИЯ КАРИЕСА.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МЕТОДИКА ОСМОТРА СЛИЗИСТОЙ ОБОЛОЧКИ ПОЛОСТИ РТА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ИНДЕКСЫ  РМА, ПИ, 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КПИ,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  <w:lang w:val="en-US"/>
              </w:rPr>
              <w:t>CPITN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.ГИГИЕНА ПОЛОСТИ РТА. ИНДЕКСЫ ГИГИЕНЫ. 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ПРЕДМЕТЫ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СРЕДСТВА ГИГИЕНЫ: ЗУБНЫЕ ПАСТЫ, ЗУБНЫЕ ПО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РОШКИ ГИГИЕНИЧЕСКИЕ ЗУБНЫЕ ПАСТЫ. ЛЕЧЕБНО-ПРОФИЛАКТИЧЕСКИЕ ЗУБНЫЕ ПАСТЫ ПРОТИВОКАРИОЗНОГО И ПРОТИВОВОСПАЛИТЕЛЬ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НОГО ДЕЙСТВИЯ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spacing w:before="300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МЕТОДЫ ЧИСТКИ ЗУБОВ. ИНДИВИДУАЛЬНАЯ ЧИСТКА ЗУБОВ И МЕТОДЫ КОНТРОЛЯ</w:t>
            </w:r>
            <w:r w:rsidRPr="00A6544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ПРАКТИЧЕСКИЕ НАВЫКИ УХОДА ЗА ЗУБАМИ У ДЕТЕЙ ДОШКОЛЬНОГО ВОЗ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РАСТА. ФОРМИРОВАНИЕ ГРУПП РИСКА НА ОСНОВАНИИ ИНДЕКСОВ ИНТЕНСИВНОСТИ КА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ЗУБНЫЕ ОТЛОЖЕНИЯ.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 w:val="restart"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Модуль №2</w:t>
            </w: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ПРОФИЛАКТИКА БОЛЕЗНЕЙ ПАРОДОНТА. 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napToGrid w:val="0"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КАРИЕСОГЕННАЯ  СИТУАЦИЯ  В  ПОЛОСТИ  РТА. ОБЩИЕ  И  МЕСТНЫЕ  ФАКТОРЫ  РИСКА  РАЗВИТИЯ  КАРИЕСА. ЗОНЫ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spacing w:after="0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РОЛЬ  НАРУШЕНИЯ  ПИТАНИЯ  И  НЕДОСТАТКА  ФТОРИДОВ  В  ВОЗНИКНОВЕНИИ  КАРИЕСА ИВ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spacing w:after="0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МОРФОЛОГИЧЕСКАЯ  И ФУНКЦИОНАЛЬНАЯ  ХАРАКТЕРИСТИКА  ПЕРИОДОВ  РАЗВИТИЯ  ПРИКУСА  РЕБЕНКА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pStyle w:val="a3"/>
              <w:contextualSpacing/>
              <w:jc w:val="both"/>
              <w:rPr>
                <w:smallCaps/>
              </w:rPr>
            </w:pPr>
            <w:r w:rsidRPr="00A6544E">
              <w:rPr>
                <w:smallCaps/>
              </w:rPr>
              <w:t>ВРЕДНЫЕ  ПРИВЫЧКИ 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МИОГИМНАСТИКА КАК МЕТОД ПРОФИЛАКТИКИ ДЕФОРМАЦИЙ ЗУБОЧЕЛЮСТНОЙ СИСТЕМЫ РЕБЕНКА</w:t>
            </w:r>
            <w:proofErr w:type="gramStart"/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.П</w:t>
            </w:r>
            <w:proofErr w:type="gramEnd"/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РАКТИЧЕСКОЕ ОСВОЕНИЕ МИОГИМНАСТИКИ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ВЗАИМОСВЯЗЬ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 w:val="0"/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0E2012" w:rsidRPr="00A6544E" w:rsidRDefault="000E2012" w:rsidP="006D23C9">
            <w:pPr>
              <w:contextualSpacing/>
              <w:rPr>
                <w:rFonts w:ascii="Times New Roman" w:hAnsi="Times New Roman" w:cs="Times New Roman"/>
                <w:smallCaps/>
                <w:snapToGrid w:val="0"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0E2012" w:rsidRPr="00A6544E" w:rsidRDefault="000E2012" w:rsidP="0022705E">
      <w:pPr>
        <w:contextualSpacing/>
        <w:rPr>
          <w:rFonts w:ascii="Times New Roman" w:hAnsi="Times New Roman" w:cs="Times New Roman"/>
          <w:b/>
          <w:smallCaps/>
          <w:sz w:val="20"/>
          <w:szCs w:val="20"/>
          <w:lang w:val="ky-KG"/>
        </w:rPr>
      </w:pPr>
    </w:p>
    <w:p w:rsidR="00A6544E" w:rsidRDefault="00A6544E" w:rsidP="000E2012">
      <w:pPr>
        <w:ind w:firstLine="708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6544E" w:rsidRDefault="00A6544E" w:rsidP="000E2012">
      <w:pPr>
        <w:ind w:firstLine="708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6544E" w:rsidRDefault="00A6544E" w:rsidP="000E2012">
      <w:pPr>
        <w:ind w:firstLine="708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E2012" w:rsidRPr="00A6544E" w:rsidRDefault="000E2012" w:rsidP="000E2012">
      <w:pPr>
        <w:ind w:firstLine="708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544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ТЕМАТИЧЕСКИЙ ПЛАН ПРАКТИЧЕСКИХ ЗАНЯТИЙ ПО КАРИЕСОЛОГИИ И </w:t>
      </w:r>
      <w:proofErr w:type="gramStart"/>
      <w:r w:rsidRPr="00A6544E">
        <w:rPr>
          <w:rFonts w:ascii="Times New Roman" w:hAnsi="Times New Roman" w:cs="Times New Roman"/>
          <w:b/>
          <w:smallCaps/>
          <w:sz w:val="24"/>
          <w:szCs w:val="24"/>
        </w:rPr>
        <w:t>ЗАБОЛЕВАНИИ</w:t>
      </w:r>
      <w:proofErr w:type="gramEnd"/>
      <w:r w:rsidRPr="00A6544E">
        <w:rPr>
          <w:rFonts w:ascii="Times New Roman" w:hAnsi="Times New Roman" w:cs="Times New Roman"/>
          <w:b/>
          <w:smallCaps/>
          <w:sz w:val="24"/>
          <w:szCs w:val="24"/>
        </w:rPr>
        <w:t xml:space="preserve"> ТВЕРДЫХ ТКАНЕЙ ЗУБОВ.</w:t>
      </w:r>
      <w:r w:rsidR="00400FE1" w:rsidRPr="00A6544E">
        <w:rPr>
          <w:rFonts w:ascii="Times New Roman" w:hAnsi="Times New Roman" w:cs="Times New Roman"/>
          <w:b/>
          <w:smallCaps/>
          <w:sz w:val="24"/>
          <w:szCs w:val="24"/>
        </w:rPr>
        <w:t xml:space="preserve"> 3курс 5семестр</w:t>
      </w:r>
    </w:p>
    <w:p w:rsidR="000E2012" w:rsidRPr="00A6544E" w:rsidRDefault="000E2012" w:rsidP="000E2012">
      <w:pPr>
        <w:ind w:firstLine="708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8080"/>
        <w:gridCol w:w="851"/>
        <w:gridCol w:w="850"/>
      </w:tblGrid>
      <w:tr w:rsidR="000E2012" w:rsidRPr="00A6544E" w:rsidTr="006D23C9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Практика</w:t>
            </w:r>
          </w:p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proofErr w:type="spellStart"/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Распред</w:t>
            </w:r>
            <w:proofErr w:type="spellEnd"/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.</w:t>
            </w:r>
          </w:p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по</w:t>
            </w:r>
          </w:p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неделям</w:t>
            </w:r>
          </w:p>
        </w:tc>
      </w:tr>
      <w:tr w:rsidR="000E2012" w:rsidRPr="00A6544E" w:rsidTr="006D23C9">
        <w:tc>
          <w:tcPr>
            <w:tcW w:w="567" w:type="dxa"/>
            <w:vMerge w:val="restart"/>
            <w:shd w:val="clear" w:color="auto" w:fill="auto"/>
            <w:textDirection w:val="btLr"/>
          </w:tcPr>
          <w:p w:rsidR="000E2012" w:rsidRPr="00A6544E" w:rsidRDefault="000E2012" w:rsidP="006D23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Модуль №1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1-2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before="280"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>ВВОДНОЕ ЗАНЯТИЕ. ОБОРУДОВАНИЕ КАБИНЕТА ПРОФИЛАКТИКИ СТОМАТОЛОГИЧЕСКИХ ЗАБОЛЕ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softHyphen/>
              <w:t xml:space="preserve">ВАНИЙ.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ЗУБНЫЕ ФОРМУЛЫ. МЕТОДЫ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3-4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ОСМОТР ЗУБОВ. ПОКАЗАТЕЛИ, ХАРАКТЕРИЗУЮЩИЕ ЗАБОЛЕВАЕМОСТЬ КАРИЕСОМ: РАС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ПРОСТРАНЕННОСТЬ, ИНТЕНСИВНОСТЬ (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, КПУ, 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КПпУ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кпп</w:t>
            </w:r>
            <w:proofErr w:type="spellEnd"/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), ПРИРОСТ ИНТЕН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СИВНОСТИ. ОЦЕНКА АКТИВНОСТИ КАРИЕСА ПО МЕТОДИКЕ ВОЗ, Т.Ф. ВИНОГРА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ДОВОЙ. РЕДУКЦИЯ КАРИЕСА.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5-6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МЕТОДИКА ОСМОТРА СЛИЗИСТОЙ ОБОЛОЧКИ ПОЛОСТИ РТА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ИНДЕКСЫ  РМА, ПИ, 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КПИ,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  <w:lang w:val="en-US"/>
              </w:rPr>
              <w:t>CPITN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 xml:space="preserve">.ГИГИЕНА ПОЛОСТИ РТА. ИНДЕКСЫ ГИГИЕНЫ. </w:t>
            </w:r>
            <w:r w:rsidRPr="00A6544E">
              <w:rPr>
                <w:rFonts w:ascii="Times New Roman" w:hAnsi="Times New Roman" w:cs="Times New Roman"/>
                <w:bCs/>
                <w:iCs/>
                <w:smallCaps/>
                <w:color w:val="000000"/>
                <w:sz w:val="20"/>
                <w:szCs w:val="20"/>
              </w:rPr>
              <w:t xml:space="preserve">ПРЕДМЕТЫ 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7-8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СРЕДСТВА ГИГИЕНЫ: ЗУБНЫЕ ПАСТЫ, ЗУБНЫЕ ПО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РОШКИ ГИГИЕНИЧЕСКИЕ ЗУБНЫЕ ПАСТЫ. ЛЕЧЕБНО-ПРОФИЛАКТИЧЕСКИЕ ЗУБНЫЕ ПАСТЫ ПРОТИВОКАРИОЗНОГО И ПРОТИВОВОСПАЛИТЕЛЬ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НОГО ДЕЙСТВИЯ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9-10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before="300"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МЕТОДЫ ЧИСТКИ ЗУБОВ. ИНДИВИДУАЛЬНАЯ ЧИСТКА ЗУБОВ И МЕТОДЫ КОНТРОЛЯ</w:t>
            </w:r>
            <w:r w:rsidRPr="00A6544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11-12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t>ПРАКТИЧЕСКИЕ НАВЫКИ УХОДА ЗА ЗУБАМИ У ДЕТЕЙ ДОШКОЛЬНОГО ВОЗ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РАСТА. ФОРМИРОВАНИЕ ГРУПП РИСКА НА ОСНОВАНИИ ИНДЕКСОВ ИНТЕНСИВНОСТИ КА</w:t>
            </w:r>
            <w:r w:rsidRPr="00A6544E">
              <w:rPr>
                <w:rFonts w:ascii="Times New Roman" w:hAnsi="Times New Roman" w:cs="Times New Roman"/>
                <w:iCs/>
                <w:smallCaps/>
                <w:color w:val="000000"/>
                <w:sz w:val="20"/>
                <w:szCs w:val="20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13-14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ЗУБНЫЕ ОТЛОЖЕНИЯ.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 w:val="restart"/>
            <w:shd w:val="clear" w:color="auto" w:fill="auto"/>
            <w:textDirection w:val="btLr"/>
          </w:tcPr>
          <w:p w:rsidR="000E2012" w:rsidRPr="00A6544E" w:rsidRDefault="000E2012" w:rsidP="006D23C9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Модуль №2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15-16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ПРОФИЛАКТИКА БОЛЕЗНЕЙ ПАРОДОНТА. 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17-18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napToGrid w:val="0"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КАРИЕСОГЕННАЯ  СИТУАЦИЯ  В  ПОЛОСТИ  РТА. ОБЩИЕ  И  МЕСТНЫЕ  ФАКТОРЫ  РИСКА  РАЗВИТИЯ  КАРИЕСА. ЗОНЫ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19-20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РОЛЬ  НАРУШЕНИЯ  ПИТАНИЯ  И  НЕДОСТАТКА  ФТОРИДОВ  В  ВОЗНИКНОВЕНИИ  КАРИЕСА. ПИТАНИЯ В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21-22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after="0"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МОРФОЛОГИЧЕСКАЯ  И ФУНКЦИОНАЛЬНАЯ  ХАРАКТЕРИСТИКА  ПЕРИОДОВ  РАЗВИТИЯ  ПРИКУСА  РЕБЕНКА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pStyle w:val="a3"/>
              <w:contextualSpacing/>
              <w:jc w:val="both"/>
              <w:rPr>
                <w:smallCaps/>
              </w:rPr>
            </w:pPr>
            <w:r w:rsidRPr="00A6544E">
              <w:rPr>
                <w:smallCaps/>
              </w:rPr>
              <w:t>ВРЕДНЫЕ  ПРИВЫЧКИ 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3ч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24-25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МИОГИМНАСТИКА КАК МЕТОД ПРОФИЛАКТИКИ ДЕФОРМАЦИЙ ЗУБОЧЕЛЮСТНОЙ СИСТЕМЫ РЕБЕНКА</w:t>
            </w:r>
            <w:proofErr w:type="gramStart"/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.П</w:t>
            </w:r>
            <w:proofErr w:type="gramEnd"/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РАКТИЧЕСКОЕ ОСВОЕНИЕ МИОГИМНАСТИКИ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26-27</w:t>
            </w: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ВЗАИМОСВЯЗЬ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</w:tr>
      <w:tr w:rsidR="000E2012" w:rsidRPr="00A6544E" w:rsidTr="006D23C9">
        <w:tc>
          <w:tcPr>
            <w:tcW w:w="567" w:type="dxa"/>
            <w:vMerge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napToGrid w:val="0"/>
                <w:sz w:val="20"/>
                <w:szCs w:val="20"/>
              </w:rPr>
            </w:pPr>
            <w:r w:rsidRPr="00A6544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E2012" w:rsidRPr="00A6544E" w:rsidRDefault="000E2012" w:rsidP="006D23C9">
            <w:pPr>
              <w:pStyle w:val="a4"/>
              <w:contextualSpacing/>
              <w:rPr>
                <w:b w:val="0"/>
                <w:bCs w:val="0"/>
                <w:smallCaps/>
                <w:sz w:val="20"/>
                <w:szCs w:val="20"/>
              </w:rPr>
            </w:pPr>
            <w:r w:rsidRPr="00A6544E">
              <w:rPr>
                <w:bCs w:val="0"/>
                <w:smallCaps/>
                <w:sz w:val="20"/>
                <w:szCs w:val="20"/>
              </w:rPr>
              <w:t>45ч</w:t>
            </w:r>
          </w:p>
        </w:tc>
        <w:tc>
          <w:tcPr>
            <w:tcW w:w="850" w:type="dxa"/>
            <w:shd w:val="clear" w:color="auto" w:fill="auto"/>
          </w:tcPr>
          <w:p w:rsidR="000E2012" w:rsidRPr="00A6544E" w:rsidRDefault="000E2012" w:rsidP="006D23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0E2012" w:rsidRPr="00A6544E" w:rsidRDefault="000E2012" w:rsidP="000E201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/>
        <w:contextualSpacing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0E2012" w:rsidRPr="00A6544E" w:rsidRDefault="000E2012" w:rsidP="000E2012">
      <w:pPr>
        <w:contextualSpacing/>
        <w:jc w:val="both"/>
        <w:rPr>
          <w:rStyle w:val="a6"/>
          <w:rFonts w:ascii="Times New Roman" w:hAnsi="Times New Roman" w:cs="Times New Roman"/>
          <w:b/>
          <w:smallCaps/>
          <w:sz w:val="20"/>
          <w:szCs w:val="20"/>
          <w:lang w:val="ky-KG"/>
        </w:rPr>
      </w:pPr>
    </w:p>
    <w:p w:rsidR="000E2012" w:rsidRPr="00A6544E" w:rsidRDefault="000E2012" w:rsidP="000E2012">
      <w:pPr>
        <w:contextualSpacing/>
        <w:jc w:val="both"/>
        <w:rPr>
          <w:rStyle w:val="a6"/>
          <w:rFonts w:ascii="Times New Roman" w:hAnsi="Times New Roman" w:cs="Times New Roman"/>
          <w:b/>
          <w:smallCaps/>
          <w:sz w:val="20"/>
          <w:szCs w:val="20"/>
          <w:lang w:val="ky-KG"/>
        </w:rPr>
      </w:pPr>
    </w:p>
    <w:p w:rsidR="000E2012" w:rsidRPr="00A6544E" w:rsidRDefault="000E2012" w:rsidP="000E2012">
      <w:pPr>
        <w:contextualSpacing/>
        <w:jc w:val="both"/>
        <w:rPr>
          <w:rStyle w:val="a6"/>
          <w:rFonts w:ascii="Times New Roman" w:hAnsi="Times New Roman" w:cs="Times New Roman"/>
          <w:b/>
          <w:smallCaps/>
          <w:sz w:val="24"/>
          <w:szCs w:val="24"/>
          <w:lang w:val="ky-KG"/>
        </w:rPr>
      </w:pPr>
    </w:p>
    <w:p w:rsidR="000E2012" w:rsidRPr="00A6544E" w:rsidRDefault="000E2012" w:rsidP="000E2012">
      <w:pPr>
        <w:contextualSpacing/>
        <w:jc w:val="both"/>
        <w:rPr>
          <w:rStyle w:val="a6"/>
          <w:rFonts w:ascii="Times New Roman" w:hAnsi="Times New Roman" w:cs="Times New Roman"/>
          <w:b/>
          <w:smallCaps/>
          <w:sz w:val="24"/>
          <w:szCs w:val="24"/>
          <w:lang w:val="ky-KG"/>
        </w:rPr>
      </w:pPr>
    </w:p>
    <w:p w:rsidR="000E2012" w:rsidRPr="00A6544E" w:rsidRDefault="000E2012" w:rsidP="000E2012">
      <w:pPr>
        <w:contextualSpacing/>
        <w:jc w:val="both"/>
        <w:rPr>
          <w:rStyle w:val="a6"/>
          <w:rFonts w:ascii="Times New Roman" w:hAnsi="Times New Roman" w:cs="Times New Roman"/>
          <w:b/>
          <w:smallCaps/>
          <w:sz w:val="24"/>
          <w:szCs w:val="24"/>
          <w:lang w:val="ky-KG"/>
        </w:rPr>
      </w:pPr>
    </w:p>
    <w:p w:rsidR="000E2012" w:rsidRPr="00A6544E" w:rsidRDefault="000E2012" w:rsidP="00A6544E">
      <w:pPr>
        <w:ind w:left="927"/>
        <w:contextualSpacing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A6544E">
        <w:rPr>
          <w:rStyle w:val="a6"/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ТЕМАТИЧЕСКИЙ ПЛАН  САМОСТОЯТЕЛЬНОЙ РАБОТЫ СТУДЕНТОВ. </w:t>
      </w:r>
      <w:r w:rsidR="00976A85" w:rsidRPr="00A6544E">
        <w:rPr>
          <w:rStyle w:val="a6"/>
          <w:rFonts w:ascii="Times New Roman" w:hAnsi="Times New Roman" w:cs="Times New Roman"/>
          <w:b/>
          <w:smallCaps/>
          <w:sz w:val="24"/>
          <w:szCs w:val="24"/>
        </w:rPr>
        <w:t>3курс5 семестр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06"/>
        <w:gridCol w:w="1134"/>
        <w:gridCol w:w="709"/>
      </w:tblGrid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№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Наименования тем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Форма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выпол</w:t>
            </w:r>
            <w:proofErr w:type="spellEnd"/>
          </w:p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proofErr w:type="spellStart"/>
            <w:r w:rsidRPr="00A6544E">
              <w:rPr>
                <w:smallCaps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Часы 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1-2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Обследование пациента в профилактическом отделении поликлиники.  Порядок и методы обследования. Медицинская карта стоматологического больного.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3-4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Состав и свойства ротовой жидкости, ее роль в процессах созревания эмали, </w:t>
            </w:r>
            <w:proofErr w:type="spellStart"/>
            <w:r w:rsidRPr="00A6544E">
              <w:rPr>
                <w:smallCaps/>
                <w:sz w:val="20"/>
                <w:szCs w:val="20"/>
              </w:rPr>
              <w:t>реминерализации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деминерализации.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5-6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  <w:lang w:val="kk-KZ"/>
              </w:rPr>
            </w:pPr>
            <w:r w:rsidRPr="00A6544E">
              <w:rPr>
                <w:smallCaps/>
                <w:sz w:val="20"/>
                <w:szCs w:val="20"/>
              </w:rPr>
              <w:t>Патогенетические механизмы развития кариеса зубов и воспитательных заболеваний пародонта. Строение и функции пародонта. Механи</w:t>
            </w:r>
            <w:bookmarkStart w:id="0" w:name="_GoBack"/>
            <w:bookmarkEnd w:id="0"/>
            <w:r w:rsidRPr="00A6544E">
              <w:rPr>
                <w:smallCaps/>
                <w:sz w:val="20"/>
                <w:szCs w:val="20"/>
              </w:rPr>
              <w:t xml:space="preserve">зм развития воспалительных заболеваний пародонта 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7-8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Критерии и оценка гигиенического состояния полости рта, распространенности и интенсивности кариеса зубов и поражения тканей пародонта (индексы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кп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,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КПУ+кп</w:t>
            </w:r>
            <w:proofErr w:type="spellEnd"/>
            <w:r w:rsidRPr="00A6544E">
              <w:rPr>
                <w:smallCaps/>
                <w:sz w:val="20"/>
                <w:szCs w:val="20"/>
              </w:rPr>
              <w:t>, КПУ). Расчет показателей прироста и редукции кариеса зубов.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9-10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Оценка состояния тканей пародонта с помощью индексов </w:t>
            </w:r>
            <w:r w:rsidRPr="00A6544E">
              <w:rPr>
                <w:smallCaps/>
                <w:sz w:val="20"/>
                <w:szCs w:val="20"/>
                <w:lang w:val="en-US"/>
              </w:rPr>
              <w:t>CPITN</w:t>
            </w:r>
            <w:r w:rsidRPr="00A6544E">
              <w:rPr>
                <w:smallCaps/>
                <w:sz w:val="20"/>
                <w:szCs w:val="20"/>
              </w:rPr>
              <w:t xml:space="preserve">, </w:t>
            </w:r>
            <w:r w:rsidRPr="00A6544E">
              <w:rPr>
                <w:smallCaps/>
                <w:sz w:val="20"/>
                <w:szCs w:val="20"/>
                <w:lang w:val="en-US"/>
              </w:rPr>
              <w:t>PMA</w:t>
            </w:r>
            <w:r w:rsidRPr="00A6544E">
              <w:rPr>
                <w:smallCaps/>
                <w:sz w:val="20"/>
                <w:szCs w:val="20"/>
              </w:rPr>
              <w:t xml:space="preserve">, КПИ, ПИ. Оценка состояния тканей пародонта с помощью индексов </w:t>
            </w:r>
            <w:r w:rsidRPr="00A6544E">
              <w:rPr>
                <w:smallCaps/>
                <w:sz w:val="20"/>
                <w:szCs w:val="20"/>
                <w:lang w:val="en-US"/>
              </w:rPr>
              <w:t>CPITN</w:t>
            </w:r>
            <w:r w:rsidRPr="00A6544E">
              <w:rPr>
                <w:smallCaps/>
                <w:sz w:val="20"/>
                <w:szCs w:val="20"/>
              </w:rPr>
              <w:t xml:space="preserve">, </w:t>
            </w:r>
            <w:r w:rsidRPr="00A6544E">
              <w:rPr>
                <w:smallCaps/>
                <w:sz w:val="20"/>
                <w:szCs w:val="20"/>
                <w:lang w:val="en-US"/>
              </w:rPr>
              <w:t>PMA</w:t>
            </w:r>
            <w:r w:rsidRPr="00A6544E">
              <w:rPr>
                <w:smallCaps/>
                <w:sz w:val="20"/>
                <w:szCs w:val="20"/>
              </w:rPr>
              <w:t>, КПИ, ПИ.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Предметы и </w:t>
            </w:r>
            <w:r w:rsidRPr="00A6544E">
              <w:rPr>
                <w:smallCaps/>
                <w:sz w:val="20"/>
                <w:szCs w:val="20"/>
                <w:lang w:val="kk-KZ"/>
              </w:rPr>
              <w:t xml:space="preserve">Средства индивидуальной гигиены полости рта.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12-13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Методика определения гигиенических индексов по Федорову –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Володкиной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, Грина –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Вермиллиона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и других.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14-15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Методы чистки зубов («</w:t>
            </w:r>
            <w:proofErr w:type="spellStart"/>
            <w:r w:rsidRPr="00A6544E">
              <w:rPr>
                <w:smallCaps/>
                <w:sz w:val="20"/>
                <w:szCs w:val="20"/>
                <w:lang w:val="en-US"/>
              </w:rPr>
              <w:t>Fones</w:t>
            </w:r>
            <w:proofErr w:type="spellEnd"/>
            <w:r w:rsidRPr="00A6544E">
              <w:rPr>
                <w:smallCaps/>
                <w:sz w:val="20"/>
                <w:szCs w:val="20"/>
              </w:rPr>
              <w:t>», «</w:t>
            </w:r>
            <w:r w:rsidRPr="00A6544E">
              <w:rPr>
                <w:smallCaps/>
                <w:sz w:val="20"/>
                <w:szCs w:val="20"/>
                <w:lang w:val="en-US"/>
              </w:rPr>
              <w:t>Bass</w:t>
            </w:r>
            <w:r w:rsidRPr="00A6544E">
              <w:rPr>
                <w:smallCaps/>
                <w:sz w:val="20"/>
                <w:szCs w:val="20"/>
              </w:rPr>
              <w:t>», «</w:t>
            </w:r>
            <w:r w:rsidRPr="00A6544E">
              <w:rPr>
                <w:smallCaps/>
                <w:sz w:val="20"/>
                <w:szCs w:val="20"/>
                <w:lang w:val="en-US"/>
              </w:rPr>
              <w:t>Leonard</w:t>
            </w:r>
            <w:r w:rsidRPr="00A6544E">
              <w:rPr>
                <w:smallCaps/>
                <w:sz w:val="20"/>
                <w:szCs w:val="20"/>
              </w:rPr>
              <w:t>», стандартный метод)</w:t>
            </w:r>
            <w:proofErr w:type="gramStart"/>
            <w:r w:rsidRPr="00A6544E">
              <w:rPr>
                <w:smallCaps/>
                <w:sz w:val="20"/>
                <w:szCs w:val="20"/>
              </w:rPr>
              <w:t>.Ф</w:t>
            </w:r>
            <w:proofErr w:type="gramEnd"/>
            <w:r w:rsidRPr="00A6544E">
              <w:rPr>
                <w:smallCaps/>
                <w:sz w:val="20"/>
                <w:szCs w:val="20"/>
              </w:rPr>
              <w:t>ормы чистки зубов: индивидуальная, контролируемая, профессиональная.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16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  <w:lang w:val="kk-KZ"/>
              </w:rPr>
            </w:pPr>
            <w:r w:rsidRPr="00A6544E">
              <w:rPr>
                <w:smallCaps/>
                <w:sz w:val="20"/>
                <w:szCs w:val="20"/>
              </w:rPr>
              <w:t xml:space="preserve">Методика удаления </w:t>
            </w:r>
            <w:proofErr w:type="gramStart"/>
            <w:r w:rsidRPr="00A6544E">
              <w:rPr>
                <w:smallCaps/>
                <w:sz w:val="20"/>
                <w:szCs w:val="20"/>
              </w:rPr>
              <w:t>над</w:t>
            </w:r>
            <w:proofErr w:type="gramEnd"/>
            <w:r w:rsidRPr="00A6544E">
              <w:rPr>
                <w:smallCaps/>
                <w:sz w:val="20"/>
                <w:szCs w:val="20"/>
              </w:rPr>
              <w:t xml:space="preserve"> и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поддесневых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зубных отложений.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17-18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Экзогенное использование фторидов для профилактики кариеса: </w:t>
            </w:r>
            <w:proofErr w:type="spellStart"/>
            <w:r w:rsidRPr="00A6544E">
              <w:rPr>
                <w:smallCaps/>
                <w:sz w:val="20"/>
                <w:szCs w:val="20"/>
              </w:rPr>
              <w:t>фторсодержающие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лаки, гели, растворы для полоскания и аппликаций. Показания, противопоказания, техника выполнения, Эффективность</w:t>
            </w:r>
            <w:r w:rsidRPr="00A6544E">
              <w:rPr>
                <w:smallCap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19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Методика герметизации </w:t>
            </w:r>
            <w:proofErr w:type="spellStart"/>
            <w:r w:rsidRPr="00A6544E">
              <w:rPr>
                <w:smallCaps/>
                <w:sz w:val="20"/>
                <w:szCs w:val="20"/>
              </w:rPr>
              <w:t>фиссур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и </w:t>
            </w:r>
            <w:proofErr w:type="spellStart"/>
            <w:r w:rsidRPr="00A6544E">
              <w:rPr>
                <w:smallCaps/>
                <w:sz w:val="20"/>
                <w:szCs w:val="20"/>
              </w:rPr>
              <w:t>сленых</w:t>
            </w:r>
            <w:proofErr w:type="spellEnd"/>
            <w:r w:rsidRPr="00A6544E">
              <w:rPr>
                <w:smallCaps/>
                <w:sz w:val="20"/>
                <w:szCs w:val="20"/>
              </w:rPr>
              <w:t xml:space="preserve"> ямок. Материалы, показания, противопоказания, эффективность и определения местных </w:t>
            </w:r>
            <w:proofErr w:type="gramStart"/>
            <w:r w:rsidRPr="00A6544E">
              <w:rPr>
                <w:smallCaps/>
                <w:sz w:val="20"/>
                <w:szCs w:val="20"/>
              </w:rPr>
              <w:t>факторов риска развития заболеваний пародонта</w:t>
            </w:r>
            <w:proofErr w:type="gramEnd"/>
            <w:r w:rsidRPr="00A6544E">
              <w:rPr>
                <w:smallCaps/>
                <w:sz w:val="20"/>
                <w:szCs w:val="20"/>
              </w:rPr>
              <w:t xml:space="preserve"> и их устранение.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20-21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  <w:lang w:val="kk-KZ"/>
              </w:rPr>
              <w:t>Методика определения факторов риска зубочелюстных аномалий и устранение и определения окклюзиограммы и избирательного пришлифовывания зубов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22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Методика </w:t>
            </w:r>
            <w:proofErr w:type="gramStart"/>
            <w:r w:rsidRPr="00A6544E">
              <w:rPr>
                <w:smallCaps/>
                <w:sz w:val="20"/>
                <w:szCs w:val="20"/>
              </w:rPr>
              <w:t>определения местных факторов риска развития заболеваний пародонта</w:t>
            </w:r>
            <w:proofErr w:type="gramEnd"/>
            <w:r w:rsidRPr="00A6544E">
              <w:rPr>
                <w:smallCaps/>
                <w:sz w:val="20"/>
                <w:szCs w:val="20"/>
              </w:rPr>
              <w:t xml:space="preserve"> и их устранение.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3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23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  <w:lang w:val="kk-KZ"/>
              </w:rPr>
              <w:t xml:space="preserve">Методика определения окклюзиограммы и избирательного пришлифовывания зубов. </w:t>
            </w:r>
            <w:r w:rsidRPr="00A6544E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24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  <w:lang w:val="kk-KZ"/>
              </w:rPr>
            </w:pPr>
            <w:r w:rsidRPr="00A6544E">
              <w:rPr>
                <w:smallCaps/>
                <w:sz w:val="20"/>
                <w:szCs w:val="20"/>
              </w:rPr>
              <w:t>Методы первичной профилактики основных стоматологических заболеваний.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rPr>
          <w:trHeight w:val="70"/>
        </w:trPr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25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Профилактика боли и стрессовых состояний  у пациентов </w:t>
            </w:r>
            <w:proofErr w:type="gramStart"/>
            <w:r w:rsidRPr="00A6544E">
              <w:rPr>
                <w:smallCaps/>
                <w:sz w:val="20"/>
                <w:szCs w:val="20"/>
              </w:rPr>
              <w:t>при</w:t>
            </w:r>
            <w:proofErr w:type="gramEnd"/>
            <w:r w:rsidRPr="00A6544E">
              <w:rPr>
                <w:smallCaps/>
                <w:sz w:val="20"/>
                <w:szCs w:val="20"/>
              </w:rPr>
              <w:t xml:space="preserve">  амбулаторных стоматологических вмешательства.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26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Определение целей, задач, средств и методов для разработки программы профилактика на индивидуальном и групповом уровнях.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27-28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Программа профилактики стоматологических заболеваний для беременных женщин и кариеса зубов у детей раннего возраста. Профилактика кариеса в период прорезывания постоянных зубов.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29-30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  <w:lang w:val="kk-KZ"/>
              </w:rPr>
            </w:pPr>
            <w:r w:rsidRPr="00A6544E">
              <w:rPr>
                <w:smallCaps/>
                <w:sz w:val="20"/>
                <w:szCs w:val="20"/>
              </w:rPr>
              <w:t>Подготовка рабочего места стоматолога на профилактическом приеме в организованном детском коллективе (контроль 2дез</w:t>
            </w:r>
            <w:proofErr w:type="gramStart"/>
            <w:r w:rsidRPr="00A6544E">
              <w:rPr>
                <w:smallCaps/>
                <w:sz w:val="20"/>
                <w:szCs w:val="20"/>
              </w:rPr>
              <w:t>.р</w:t>
            </w:r>
            <w:proofErr w:type="gramEnd"/>
            <w:r w:rsidRPr="00A6544E">
              <w:rPr>
                <w:smallCaps/>
                <w:sz w:val="20"/>
                <w:szCs w:val="20"/>
              </w:rPr>
              <w:t>ежима, инструментарий и 2 оборудование).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30-31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Определение гигиенических индексов у школьников. Обучение детей методом чистки зубов. Контролируемая чистка зубов среди 6-7 летних школьников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32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proofErr w:type="gramStart"/>
            <w:r w:rsidRPr="00A6544E">
              <w:rPr>
                <w:smallCaps/>
                <w:sz w:val="20"/>
                <w:szCs w:val="20"/>
              </w:rPr>
              <w:t>Особенности профилактических мероприятий и профилактика стоматологических заболеваний с учетам возрастных и психологических особенности детского возраста и для различных возрастных групп населения.</w:t>
            </w:r>
            <w:proofErr w:type="gramEnd"/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33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Выявление показателей  распространенности и интенсивности кариеса среди школьников 6.12.15 лет (индексы КПУ, </w:t>
            </w:r>
            <w:proofErr w:type="spellStart"/>
            <w:r w:rsidRPr="00A6544E">
              <w:rPr>
                <w:smallCaps/>
                <w:sz w:val="20"/>
                <w:szCs w:val="20"/>
              </w:rPr>
              <w:t>Кпу+кп</w:t>
            </w:r>
            <w:proofErr w:type="spellEnd"/>
            <w:r w:rsidRPr="00A6544E">
              <w:rPr>
                <w:smallCaps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2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34-35</w:t>
            </w: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 xml:space="preserve">Выявление показателей  распространенности и  интенсивности заболеваний пародонта среди школьников 15 лет индекс </w:t>
            </w:r>
            <w:r w:rsidRPr="00A6544E">
              <w:rPr>
                <w:smallCaps/>
                <w:sz w:val="20"/>
                <w:szCs w:val="20"/>
                <w:lang w:val="en-US"/>
              </w:rPr>
              <w:t>CPITN</w:t>
            </w:r>
            <w:r w:rsidRPr="00A6544E">
              <w:rPr>
                <w:smallCaps/>
                <w:sz w:val="20"/>
                <w:szCs w:val="20"/>
              </w:rPr>
              <w:t xml:space="preserve">, </w:t>
            </w:r>
            <w:r w:rsidRPr="00A6544E">
              <w:rPr>
                <w:smallCaps/>
                <w:sz w:val="20"/>
                <w:szCs w:val="20"/>
                <w:lang w:val="en-US"/>
              </w:rPr>
              <w:t>PMA</w:t>
            </w:r>
            <w:r w:rsidRPr="00A6544E">
              <w:rPr>
                <w:smallCaps/>
                <w:sz w:val="20"/>
                <w:szCs w:val="20"/>
              </w:rPr>
              <w:t>, КПИ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  <w:r w:rsidRPr="00A6544E">
              <w:rPr>
                <w:smallCaps/>
                <w:sz w:val="20"/>
                <w:szCs w:val="20"/>
              </w:rPr>
              <w:t>Реферат</w:t>
            </w: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</w:p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4</w:t>
            </w:r>
          </w:p>
        </w:tc>
      </w:tr>
      <w:tr w:rsidR="000E2012" w:rsidRPr="00A6544E" w:rsidTr="00A6544E">
        <w:tc>
          <w:tcPr>
            <w:tcW w:w="992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06" w:type="dxa"/>
          </w:tcPr>
          <w:p w:rsidR="000E2012" w:rsidRPr="00A6544E" w:rsidRDefault="000E2012" w:rsidP="006D23C9">
            <w:pPr>
              <w:pStyle w:val="a7"/>
              <w:contextualSpacing/>
              <w:rPr>
                <w:b/>
                <w:smallCaps/>
                <w:sz w:val="20"/>
                <w:szCs w:val="20"/>
              </w:rPr>
            </w:pPr>
            <w:r w:rsidRPr="00A6544E">
              <w:rPr>
                <w:b/>
                <w:smallCaps/>
                <w:sz w:val="20"/>
                <w:szCs w:val="20"/>
              </w:rPr>
              <w:t>Итого</w:t>
            </w:r>
            <w:r w:rsidRPr="00A6544E">
              <w:rPr>
                <w:b/>
                <w:smallCap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34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0E2012" w:rsidRPr="00A6544E" w:rsidRDefault="000E2012" w:rsidP="006D23C9">
            <w:pPr>
              <w:pStyle w:val="a7"/>
              <w:contextualSpacing/>
              <w:jc w:val="center"/>
              <w:rPr>
                <w:b/>
                <w:smallCaps/>
                <w:sz w:val="20"/>
                <w:szCs w:val="20"/>
                <w:lang w:val="kk-KZ"/>
              </w:rPr>
            </w:pPr>
            <w:r w:rsidRPr="00A6544E">
              <w:rPr>
                <w:b/>
                <w:smallCaps/>
                <w:sz w:val="20"/>
                <w:szCs w:val="20"/>
                <w:lang w:val="kk-KZ"/>
              </w:rPr>
              <w:t>75</w:t>
            </w:r>
          </w:p>
        </w:tc>
      </w:tr>
    </w:tbl>
    <w:p w:rsidR="006258EE" w:rsidRPr="00A6544E" w:rsidRDefault="006258EE">
      <w:pPr>
        <w:rPr>
          <w:rFonts w:ascii="Times New Roman" w:hAnsi="Times New Roman" w:cs="Times New Roman"/>
          <w:smallCaps/>
          <w:sz w:val="20"/>
          <w:szCs w:val="20"/>
        </w:rPr>
      </w:pPr>
    </w:p>
    <w:p w:rsidR="00A6544E" w:rsidRPr="00A6544E" w:rsidRDefault="00A6544E">
      <w:pPr>
        <w:rPr>
          <w:rFonts w:ascii="Times New Roman" w:hAnsi="Times New Roman" w:cs="Times New Roman"/>
          <w:smallCaps/>
          <w:sz w:val="24"/>
          <w:szCs w:val="24"/>
        </w:rPr>
      </w:pPr>
    </w:p>
    <w:sectPr w:rsidR="00A6544E" w:rsidRPr="00A6544E" w:rsidSect="004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E2012"/>
    <w:rsid w:val="000E2012"/>
    <w:rsid w:val="0022705E"/>
    <w:rsid w:val="00341C41"/>
    <w:rsid w:val="00400FE1"/>
    <w:rsid w:val="00413EC9"/>
    <w:rsid w:val="00494306"/>
    <w:rsid w:val="004B7FAE"/>
    <w:rsid w:val="006258EE"/>
    <w:rsid w:val="00892467"/>
    <w:rsid w:val="00976A85"/>
    <w:rsid w:val="00A6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E20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E20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qFormat/>
    <w:rsid w:val="000E2012"/>
    <w:rPr>
      <w:i/>
      <w:iCs/>
    </w:rPr>
  </w:style>
  <w:style w:type="paragraph" w:styleId="a7">
    <w:name w:val="No Spacing"/>
    <w:uiPriority w:val="1"/>
    <w:qFormat/>
    <w:rsid w:val="000E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2017-09-05T08:57:00Z</dcterms:created>
  <dcterms:modified xsi:type="dcterms:W3CDTF">2017-09-18T03:12:00Z</dcterms:modified>
</cp:coreProperties>
</file>