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3" w:rsidRDefault="00145703" w:rsidP="00145703">
      <w:pPr>
        <w:spacing w:after="0" w:line="240" w:lineRule="auto"/>
        <w:jc w:val="right"/>
        <w:rPr>
          <w:b/>
          <w:color w:val="1F497D"/>
          <w:sz w:val="32"/>
          <w:szCs w:val="56"/>
          <w:lang w:val="ky-KG"/>
        </w:rPr>
      </w:pPr>
      <w:r>
        <w:rPr>
          <w:b/>
          <w:noProof/>
          <w:color w:val="1F497D"/>
          <w:sz w:val="32"/>
          <w:szCs w:val="56"/>
          <w:lang w:eastAsia="ru-RU"/>
        </w:rPr>
        <w:drawing>
          <wp:inline distT="0" distB="0" distL="0" distR="0">
            <wp:extent cx="2918460" cy="1975104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03" w:rsidRDefault="00145703" w:rsidP="00145703">
      <w:pPr>
        <w:spacing w:after="0" w:line="240" w:lineRule="auto"/>
        <w:jc w:val="center"/>
        <w:rPr>
          <w:b/>
          <w:color w:val="0070C0"/>
          <w:sz w:val="30"/>
          <w:szCs w:val="30"/>
          <w:lang w:val="ky-KG"/>
        </w:rPr>
      </w:pPr>
    </w:p>
    <w:p w:rsidR="00145703" w:rsidRPr="00D11D1F" w:rsidRDefault="00145703" w:rsidP="00145703">
      <w:pPr>
        <w:spacing w:after="0" w:line="240" w:lineRule="auto"/>
        <w:jc w:val="center"/>
        <w:rPr>
          <w:b/>
          <w:caps/>
          <w:color w:val="0070C0"/>
          <w:sz w:val="30"/>
          <w:szCs w:val="30"/>
          <w:lang w:val="ky-KG"/>
        </w:rPr>
      </w:pPr>
      <w:r w:rsidRPr="00D11D1F">
        <w:rPr>
          <w:b/>
          <w:color w:val="0070C0"/>
          <w:sz w:val="30"/>
          <w:szCs w:val="30"/>
          <w:lang w:val="ky-KG"/>
        </w:rPr>
        <w:t>2019-2024-жылдары Ош МУнун окуу-методикалык ишмердүүлүгүнүн сап</w:t>
      </w:r>
      <w:r w:rsidRPr="00D11D1F">
        <w:rPr>
          <w:b/>
          <w:color w:val="0070C0"/>
          <w:sz w:val="30"/>
          <w:szCs w:val="30"/>
          <w:lang w:val="ky-KG"/>
        </w:rPr>
        <w:t>а</w:t>
      </w:r>
      <w:r w:rsidRPr="00D11D1F">
        <w:rPr>
          <w:b/>
          <w:color w:val="0070C0"/>
          <w:sz w:val="30"/>
          <w:szCs w:val="30"/>
          <w:lang w:val="ky-KG"/>
        </w:rPr>
        <w:t>тын жогорулатуу боюнча</w:t>
      </w:r>
      <w:r w:rsidRPr="00D11D1F">
        <w:rPr>
          <w:b/>
          <w:caps/>
          <w:color w:val="0070C0"/>
          <w:sz w:val="30"/>
          <w:szCs w:val="30"/>
          <w:lang w:val="ky-KG"/>
        </w:rPr>
        <w:t xml:space="preserve"> </w:t>
      </w:r>
    </w:p>
    <w:p w:rsidR="00145703" w:rsidRDefault="00145703" w:rsidP="00145703">
      <w:pPr>
        <w:spacing w:after="0" w:line="240" w:lineRule="auto"/>
        <w:jc w:val="center"/>
        <w:rPr>
          <w:b/>
          <w:caps/>
          <w:color w:val="0070C0"/>
          <w:sz w:val="30"/>
          <w:szCs w:val="30"/>
          <w:lang w:val="ky-KG"/>
        </w:rPr>
      </w:pPr>
    </w:p>
    <w:p w:rsidR="00145703" w:rsidRPr="00D11D1F" w:rsidRDefault="00145703" w:rsidP="00145703">
      <w:pPr>
        <w:spacing w:after="0" w:line="240" w:lineRule="auto"/>
        <w:jc w:val="center"/>
        <w:rPr>
          <w:b/>
          <w:bCs/>
          <w:color w:val="0070C0"/>
          <w:sz w:val="30"/>
          <w:szCs w:val="30"/>
          <w:lang w:val="ky-KG"/>
        </w:rPr>
      </w:pPr>
      <w:r w:rsidRPr="00D11D1F">
        <w:rPr>
          <w:b/>
          <w:caps/>
          <w:color w:val="0070C0"/>
          <w:sz w:val="30"/>
          <w:szCs w:val="30"/>
          <w:lang w:val="ky-KG"/>
        </w:rPr>
        <w:t>ИШ-план</w:t>
      </w:r>
    </w:p>
    <w:p w:rsidR="00145703" w:rsidRPr="00362081" w:rsidRDefault="00145703" w:rsidP="00145703">
      <w:pPr>
        <w:spacing w:after="0" w:line="240" w:lineRule="auto"/>
        <w:jc w:val="center"/>
        <w:rPr>
          <w:rFonts w:eastAsiaTheme="majorEastAsia"/>
          <w:b/>
          <w:szCs w:val="26"/>
          <w:lang w:val="ky-KG"/>
        </w:rPr>
      </w:pP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484"/>
        <w:gridCol w:w="553"/>
        <w:gridCol w:w="554"/>
        <w:gridCol w:w="554"/>
        <w:gridCol w:w="554"/>
        <w:gridCol w:w="706"/>
        <w:gridCol w:w="2190"/>
      </w:tblGrid>
      <w:tr w:rsidR="00145703" w:rsidRPr="00FE449D" w:rsidTr="00AF3E05">
        <w:tc>
          <w:tcPr>
            <w:tcW w:w="2552" w:type="dxa"/>
          </w:tcPr>
          <w:p w:rsidR="00145703" w:rsidRPr="00FE449D" w:rsidRDefault="00145703" w:rsidP="00AF0DC7">
            <w:pPr>
              <w:spacing w:after="0" w:line="240" w:lineRule="auto"/>
              <w:jc w:val="center"/>
              <w:rPr>
                <w:b/>
                <w:sz w:val="20"/>
                <w:szCs w:val="25"/>
              </w:rPr>
            </w:pPr>
            <w:r w:rsidRPr="00FE449D">
              <w:rPr>
                <w:b/>
                <w:sz w:val="20"/>
                <w:szCs w:val="25"/>
                <w:lang w:val="ky-KG"/>
              </w:rPr>
              <w:t>МИЛДЕТТЕР</w:t>
            </w:r>
          </w:p>
        </w:tc>
        <w:tc>
          <w:tcPr>
            <w:tcW w:w="2484" w:type="dxa"/>
          </w:tcPr>
          <w:p w:rsidR="00145703" w:rsidRPr="00FE449D" w:rsidRDefault="00145703" w:rsidP="00AF0DC7">
            <w:pPr>
              <w:spacing w:after="0" w:line="240" w:lineRule="auto"/>
              <w:jc w:val="center"/>
              <w:rPr>
                <w:b/>
                <w:sz w:val="20"/>
                <w:szCs w:val="25"/>
              </w:rPr>
            </w:pPr>
            <w:r w:rsidRPr="00FE449D">
              <w:rPr>
                <w:b/>
                <w:sz w:val="20"/>
                <w:szCs w:val="25"/>
                <w:lang w:val="ky-KG"/>
              </w:rPr>
              <w:t>МАКСАТТУУ ИНДИКАТОРЛОР ЖАНА ИШ-ЧАРАЛАР</w:t>
            </w:r>
          </w:p>
        </w:tc>
        <w:tc>
          <w:tcPr>
            <w:tcW w:w="553" w:type="dxa"/>
          </w:tcPr>
          <w:p w:rsidR="00145703" w:rsidRPr="00FE449D" w:rsidRDefault="00145703" w:rsidP="00AF0DC7">
            <w:pPr>
              <w:spacing w:after="0" w:line="240" w:lineRule="auto"/>
              <w:jc w:val="center"/>
              <w:rPr>
                <w:b/>
                <w:sz w:val="16"/>
                <w:szCs w:val="25"/>
                <w:lang w:val="ky-KG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 xml:space="preserve">2019-      </w:t>
            </w:r>
          </w:p>
          <w:p w:rsidR="00145703" w:rsidRPr="00FE449D" w:rsidRDefault="00145703" w:rsidP="00AF0DC7">
            <w:pPr>
              <w:spacing w:after="0" w:line="240" w:lineRule="auto"/>
              <w:rPr>
                <w:b/>
                <w:sz w:val="16"/>
                <w:szCs w:val="25"/>
                <w:lang w:val="ky-KG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>2020</w:t>
            </w:r>
          </w:p>
        </w:tc>
        <w:tc>
          <w:tcPr>
            <w:tcW w:w="554" w:type="dxa"/>
          </w:tcPr>
          <w:p w:rsidR="00145703" w:rsidRPr="00FE449D" w:rsidRDefault="00145703" w:rsidP="00AF0DC7">
            <w:pPr>
              <w:spacing w:line="240" w:lineRule="auto"/>
              <w:rPr>
                <w:sz w:val="16"/>
                <w:szCs w:val="25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>2020-2021</w:t>
            </w:r>
          </w:p>
        </w:tc>
        <w:tc>
          <w:tcPr>
            <w:tcW w:w="554" w:type="dxa"/>
          </w:tcPr>
          <w:p w:rsidR="00145703" w:rsidRPr="00FE449D" w:rsidRDefault="00145703" w:rsidP="00AF0DC7">
            <w:pPr>
              <w:spacing w:line="240" w:lineRule="auto"/>
              <w:rPr>
                <w:sz w:val="16"/>
                <w:szCs w:val="25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>2021-2022</w:t>
            </w:r>
          </w:p>
        </w:tc>
        <w:tc>
          <w:tcPr>
            <w:tcW w:w="554" w:type="dxa"/>
          </w:tcPr>
          <w:p w:rsidR="00145703" w:rsidRPr="00FE449D" w:rsidRDefault="00145703" w:rsidP="00AF0DC7">
            <w:pPr>
              <w:spacing w:line="240" w:lineRule="auto"/>
              <w:rPr>
                <w:sz w:val="16"/>
                <w:szCs w:val="25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>2022-2023</w:t>
            </w:r>
          </w:p>
        </w:tc>
        <w:tc>
          <w:tcPr>
            <w:tcW w:w="706" w:type="dxa"/>
          </w:tcPr>
          <w:p w:rsidR="00145703" w:rsidRPr="00FE449D" w:rsidRDefault="00145703" w:rsidP="00AF0DC7">
            <w:pPr>
              <w:spacing w:line="240" w:lineRule="auto"/>
              <w:rPr>
                <w:sz w:val="16"/>
                <w:szCs w:val="25"/>
              </w:rPr>
            </w:pPr>
            <w:r w:rsidRPr="00FE449D">
              <w:rPr>
                <w:b/>
                <w:sz w:val="16"/>
                <w:szCs w:val="25"/>
                <w:lang w:val="ky-KG"/>
              </w:rPr>
              <w:t>2023-2024</w:t>
            </w:r>
          </w:p>
        </w:tc>
        <w:tc>
          <w:tcPr>
            <w:tcW w:w="2190" w:type="dxa"/>
          </w:tcPr>
          <w:p w:rsidR="00145703" w:rsidRPr="00FE449D" w:rsidRDefault="00145703" w:rsidP="00AF0DC7">
            <w:pPr>
              <w:spacing w:after="0" w:line="240" w:lineRule="auto"/>
              <w:jc w:val="center"/>
              <w:rPr>
                <w:b/>
                <w:sz w:val="16"/>
                <w:szCs w:val="25"/>
              </w:rPr>
            </w:pPr>
            <w:r w:rsidRPr="00FE449D">
              <w:rPr>
                <w:b/>
                <w:sz w:val="24"/>
                <w:szCs w:val="25"/>
                <w:lang w:val="ky-KG"/>
              </w:rPr>
              <w:t>ЖООПТУУЛАР</w:t>
            </w:r>
          </w:p>
        </w:tc>
      </w:tr>
      <w:tr w:rsidR="00145703" w:rsidRPr="006D6F4D" w:rsidTr="00AF3E05">
        <w:trPr>
          <w:trHeight w:val="854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1.1 Дүйнөнүн алдынкы ЖОЖдорунун программалары менен жаңы, эксперименталдык билим берүү программаларын ишке ашыруу, эл аралык стандарттарга ылайык билим берүүнүн мазмунун жакшыртуу.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Жаңыланган окуу пландардын жана программалардын үлүшү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80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  <w:r w:rsidRPr="006D6F4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тор,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</w:p>
        </w:tc>
      </w:tr>
      <w:tr w:rsidR="00145703" w:rsidRPr="006D6F4D" w:rsidTr="00AF3E05">
        <w:trPr>
          <w:trHeight w:val="878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Жаңы дисциплин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лар менен толуктоо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ры</w:t>
            </w:r>
          </w:p>
        </w:tc>
      </w:tr>
      <w:tr w:rsidR="00145703" w:rsidRPr="006D6F4D" w:rsidTr="00AF3E05">
        <w:trPr>
          <w:trHeight w:val="1440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Дисциплиналардын ОМКларындагы өз алдынча иштөөнүн сапатын жана үл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шүн көбөйтүү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50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55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60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65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70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ры</w:t>
            </w:r>
          </w:p>
        </w:tc>
      </w:tr>
      <w:tr w:rsidR="00145703" w:rsidRPr="006D6F4D" w:rsidTr="00AF3E05">
        <w:trPr>
          <w:trHeight w:val="225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Эксперименталдык долбоорлордун алкагында иннов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циялык методдорду жана технологи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я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ларды ишке ашыруу жана 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п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робациялоо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ОИД, АББСД,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ры</w:t>
            </w:r>
          </w:p>
        </w:tc>
      </w:tr>
      <w:tr w:rsidR="00145703" w:rsidRPr="006D6F4D" w:rsidTr="00AF3E05">
        <w:trPr>
          <w:trHeight w:val="77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Жаңы билим берүү программалары боюнча окутуу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</w:t>
            </w:r>
          </w:p>
        </w:tc>
      </w:tr>
      <w:tr w:rsidR="00145703" w:rsidRPr="006D6F4D" w:rsidTr="00AF3E05">
        <w:trPr>
          <w:trHeight w:val="2793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1.2 Эмгек рыногунун жана и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ш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берүүчүлөрдүн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а</w:t>
            </w:r>
            <w:r w:rsidRPr="006D6F4D">
              <w:rPr>
                <w:color w:val="000000"/>
                <w:sz w:val="27"/>
                <w:szCs w:val="27"/>
              </w:rPr>
              <w:t>лаптарын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эске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алуу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менен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бакалавриа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тын</w:t>
            </w:r>
            <w:r w:rsidRPr="006D6F4D">
              <w:rPr>
                <w:color w:val="000000"/>
                <w:sz w:val="27"/>
                <w:szCs w:val="27"/>
              </w:rPr>
              <w:t xml:space="preserve">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магистратур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нын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докторантура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нын билим берүү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программаларынын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мазмуну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н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жакшы</w:t>
            </w:r>
            <w:r w:rsidRPr="006D6F4D">
              <w:rPr>
                <w:color w:val="000000"/>
                <w:sz w:val="27"/>
                <w:szCs w:val="27"/>
              </w:rPr>
              <w:t>р</w:t>
            </w:r>
            <w:r w:rsidRPr="006D6F4D">
              <w:rPr>
                <w:color w:val="000000"/>
                <w:sz w:val="27"/>
                <w:szCs w:val="27"/>
              </w:rPr>
              <w:t>туу</w:t>
            </w:r>
            <w:proofErr w:type="spellEnd"/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Эмгек рыногунун жана и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ш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берүүчүлөрдүн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талаптарын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эске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алуу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 менен дисциплин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лардын </w:t>
            </w:r>
            <w:r w:rsidRPr="006D6F4D">
              <w:rPr>
                <w:color w:val="000000"/>
                <w:sz w:val="27"/>
                <w:szCs w:val="27"/>
              </w:rPr>
              <w:t>(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иш берүүч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лөрдөн жазуу түрү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дө оң ой-пикири бар болгон) программаларын иштеп чыгуу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Факультеттин декандары, программа жетекчилери, ОИД, АББСД, Карьера борбору, Өндүрүштөр менен байланыштар департаменти</w:t>
            </w:r>
          </w:p>
        </w:tc>
      </w:tr>
      <w:tr w:rsidR="00145703" w:rsidRPr="006D6F4D" w:rsidTr="00AF3E05">
        <w:trPr>
          <w:trHeight w:val="799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Талап кылынган кесиптик компетенци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я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ларды эске алуу менен дисциплинала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дын мазмунун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</w:t>
            </w:r>
          </w:p>
        </w:tc>
      </w:tr>
      <w:tr w:rsidR="00145703" w:rsidRPr="006D6F4D" w:rsidTr="00AF3E05">
        <w:trPr>
          <w:trHeight w:val="1693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1.3 Компетенттүүлүк мамиленин негизинде модулдук окутууну ишке ашыруу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Компетенциялардын иерархиясын түзүү жана ага ылайык программаларды</w:t>
            </w:r>
            <w:r w:rsidRPr="006D6F4D">
              <w:rPr>
                <w:color w:val="000000"/>
                <w:sz w:val="27"/>
                <w:szCs w:val="27"/>
              </w:rPr>
              <w:t>/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дисциплиналарды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башчылары, программа жетекчил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ри</w:t>
            </w:r>
          </w:p>
        </w:tc>
      </w:tr>
      <w:tr w:rsidR="00145703" w:rsidRPr="006D6F4D" w:rsidTr="00AF3E05">
        <w:trPr>
          <w:trHeight w:val="115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пландарды модулдук принципте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башчылары, ОИД, АББСД</w:t>
            </w:r>
          </w:p>
        </w:tc>
      </w:tr>
      <w:tr w:rsidR="00145703" w:rsidRPr="006D6F4D" w:rsidTr="00AF3E05">
        <w:trPr>
          <w:trHeight w:val="1321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Модулдардук принципте жумушчу окуу пландары (мындан ары ЖОП) боюнча окутуу (саны)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8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башчылары, ОИД, АББСД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1.4 Университеттеги окумуштуулардын илимий изилдөөлөрүнүн 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ы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йынтыктарын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бакалавриат, магистратура жана докторантуралардын 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лим берүү программаларынын мазмунуна интеграциялоо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lastRenderedPageBreak/>
              <w:t>Дисциплиналардын мазмунун жаңылоо</w:t>
            </w:r>
            <w:r w:rsidRPr="006D6F4D">
              <w:rPr>
                <w:sz w:val="27"/>
                <w:szCs w:val="27"/>
              </w:rPr>
              <w:t xml:space="preserve"> (</w:t>
            </w:r>
            <w:r w:rsidRPr="006D6F4D">
              <w:rPr>
                <w:sz w:val="27"/>
                <w:szCs w:val="27"/>
                <w:lang w:val="ky-KG"/>
              </w:rPr>
              <w:t>ДОМК</w:t>
            </w:r>
            <w:r w:rsidRPr="006D6F4D">
              <w:rPr>
                <w:sz w:val="27"/>
                <w:szCs w:val="27"/>
              </w:rPr>
              <w:t>)</w:t>
            </w:r>
            <w:r w:rsidRPr="006D6F4D">
              <w:rPr>
                <w:sz w:val="27"/>
                <w:szCs w:val="27"/>
                <w:lang w:val="ky-KG"/>
              </w:rPr>
              <w:t xml:space="preserve"> %.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80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  <w:r w:rsidRPr="006D6F4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ОИД, </w:t>
            </w:r>
            <w:r w:rsidRPr="006D6F4D">
              <w:rPr>
                <w:color w:val="000000"/>
                <w:sz w:val="27"/>
                <w:szCs w:val="27"/>
              </w:rPr>
              <w:t xml:space="preserve">Магистратура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lastRenderedPageBreak/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PhD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докторантура бө</w:t>
            </w:r>
            <w:proofErr w:type="gramStart"/>
            <w:r w:rsidRPr="006D6F4D">
              <w:rPr>
                <w:color w:val="000000"/>
                <w:sz w:val="27"/>
                <w:szCs w:val="27"/>
              </w:rPr>
              <w:t>л</w:t>
            </w:r>
            <w:proofErr w:type="gramEnd"/>
            <w:r w:rsidRPr="006D6F4D">
              <w:rPr>
                <w:color w:val="000000"/>
                <w:sz w:val="27"/>
                <w:szCs w:val="27"/>
              </w:rPr>
              <w:t>үмү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1147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1.5 Кош дипломдуу эл аралык биргелешкен билим берүү программал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рын ишке ашыруу 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b/>
                <w:sz w:val="27"/>
                <w:szCs w:val="27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Бакалавриат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та </w:t>
            </w:r>
            <w:r w:rsidRPr="006D6F4D">
              <w:rPr>
                <w:color w:val="000000"/>
                <w:sz w:val="27"/>
                <w:szCs w:val="27"/>
              </w:rPr>
              <w:t>– (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жылына   3 </w:t>
            </w:r>
            <w:r w:rsidRPr="006D6F4D">
              <w:rPr>
                <w:color w:val="000000"/>
                <w:sz w:val="27"/>
                <w:szCs w:val="27"/>
              </w:rPr>
              <w:t>программ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адан кем эмес)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9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12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программа жетекчилери, ОИД, Эл аралык байланыштар бөл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мү</w:t>
            </w:r>
          </w:p>
        </w:tc>
      </w:tr>
      <w:tr w:rsidR="00145703" w:rsidRPr="006D6F4D" w:rsidTr="00AF3E05">
        <w:trPr>
          <w:trHeight w:val="1123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</w:rPr>
              <w:t>Магистратура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да</w:t>
            </w:r>
            <w:r w:rsidRPr="006D6F4D">
              <w:rPr>
                <w:color w:val="000000"/>
                <w:sz w:val="27"/>
                <w:szCs w:val="27"/>
              </w:rPr>
              <w:t xml:space="preserve"> – (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жылына 5 </w:t>
            </w:r>
            <w:r w:rsidRPr="006D6F4D">
              <w:rPr>
                <w:color w:val="000000"/>
                <w:sz w:val="27"/>
                <w:szCs w:val="27"/>
              </w:rPr>
              <w:t>программ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адан кем эмес)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программа жетекчилери,  Мж</w:t>
            </w:r>
            <w:proofErr w:type="gramStart"/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proofErr w:type="gramEnd"/>
            <w:r w:rsidRPr="006D6F4D">
              <w:rPr>
                <w:color w:val="000000"/>
                <w:sz w:val="27"/>
                <w:szCs w:val="27"/>
                <w:lang w:val="ky-KG"/>
              </w:rPr>
              <w:t>Б, ЭААБ</w:t>
            </w:r>
          </w:p>
        </w:tc>
      </w:tr>
      <w:tr w:rsidR="00145703" w:rsidRPr="006D6F4D" w:rsidTr="00AF3E05">
        <w:trPr>
          <w:trHeight w:val="937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</w:rPr>
              <w:t>Докторантура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да</w:t>
            </w:r>
            <w:r w:rsidRPr="006D6F4D">
              <w:rPr>
                <w:color w:val="000000"/>
                <w:sz w:val="27"/>
                <w:szCs w:val="27"/>
              </w:rPr>
              <w:t xml:space="preserve"> – (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жылына 3 </w:t>
            </w:r>
            <w:r w:rsidRPr="006D6F4D">
              <w:rPr>
                <w:color w:val="000000"/>
                <w:sz w:val="27"/>
                <w:szCs w:val="27"/>
              </w:rPr>
              <w:t>программ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адан кем эмес)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9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12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программа жетекчилери,  Мж</w:t>
            </w:r>
            <w:proofErr w:type="gramStart"/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proofErr w:type="gramEnd"/>
            <w:r w:rsidRPr="006D6F4D">
              <w:rPr>
                <w:color w:val="000000"/>
                <w:sz w:val="27"/>
                <w:szCs w:val="27"/>
                <w:lang w:val="ky-KG"/>
              </w:rPr>
              <w:t>Б, ЭААБ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1.6 Балакавриат жана магистратура билим берүү программаларын эл аралык аккредитациядан өткөрүү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</w:rPr>
            </w:pPr>
            <w:r w:rsidRPr="006D6F4D">
              <w:rPr>
                <w:sz w:val="27"/>
                <w:szCs w:val="27"/>
                <w:lang w:val="ky-KG"/>
              </w:rPr>
              <w:t>Таанылган чет элдик аккредитация агенттиктеринен аккредитациядан өтүү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программа жетекчилери, АББСД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1.7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Бакалавриат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>, магистратур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 жана</w:t>
            </w:r>
            <w:r w:rsidRPr="006D6F4D">
              <w:rPr>
                <w:color w:val="000000"/>
                <w:sz w:val="27"/>
                <w:szCs w:val="27"/>
              </w:rPr>
              <w:t xml:space="preserve"> докторантур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 боюнча жаңы адистиктерди, багы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тарды ачуу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Жаңы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адистиктерди, багыттарды ачуу жана алар боюнча окутууну ишке ашыруу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программа жетекчилери, ОИД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1.8 Чет өлкөлүк тажрыйбаларды изилдөөнүн негизинде билим 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рүү жараянын окуу- методикалык жактан ка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сыздоо маселелери боюнча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 xml:space="preserve">консультациялык-кеңешүүчү орган  түзүү 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Туруктуу иштөөчү консультациялык-кеңешүүчү органды иштетүү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АББСД, ОИД,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ЭАББ, Метод.кеңеш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1.9 Университетте ички укуктук-ченемдик актыларды жана билим берүү тармагындагы стандарттарды иштеп чыгуу жана 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китүү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Ички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укуктук-ченемдик актыларды иштеп чыгуу жана сунуштоо (мындан ары </w:t>
            </w:r>
            <w:r w:rsidRPr="006D6F4D">
              <w:rPr>
                <w:sz w:val="27"/>
                <w:szCs w:val="27"/>
                <w:lang w:val="ky-KG"/>
              </w:rPr>
              <w:t>УЧА), жаңы багыттар, адистиктер боюнча стандарттарды иштеп чыгуу, министрликтин алдындагы ОМБге суну</w:t>
            </w:r>
            <w:r w:rsidRPr="006D6F4D">
              <w:rPr>
                <w:sz w:val="27"/>
                <w:szCs w:val="27"/>
                <w:lang w:val="ky-KG"/>
              </w:rPr>
              <w:t>ш</w:t>
            </w:r>
            <w:r w:rsidRPr="006D6F4D">
              <w:rPr>
                <w:sz w:val="27"/>
                <w:szCs w:val="27"/>
                <w:lang w:val="ky-KG"/>
              </w:rPr>
              <w:t>тоо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башчылары, АББСД, ОИД, Кадрлар башкармалыгы, Юрист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1.10 Жаңы муундагы окуулуктарды жана окуу-колдонмолорду иштеп чыгуу жана модернизациялоо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Жаңы окуулуктарды жана окуу-колдонмолорду иштеп чыгуу  %</w:t>
            </w:r>
          </w:p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, Кафедра башчылары, АББСД, ОИД</w:t>
            </w:r>
          </w:p>
        </w:tc>
      </w:tr>
      <w:tr w:rsidR="00145703" w:rsidRPr="006D6F4D" w:rsidTr="00AF3E05">
        <w:trPr>
          <w:trHeight w:val="2009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1.11 Иштелип чыккан электрондук окуу мат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риалдардын сапатын жана аларды колдонуу мүмкүнчүлүктөрүн өркүндөтүү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Дистанттык билим берүү технологияларын окуу процессине кийрүү боюнча семинарларды уюштуруу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</w:t>
            </w:r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</w:t>
            </w:r>
            <w:r w:rsidRPr="006D6F4D">
              <w:rPr>
                <w:color w:val="000000"/>
                <w:sz w:val="27"/>
                <w:szCs w:val="27"/>
              </w:rPr>
              <w:t xml:space="preserve">Жаңы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технологиялар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дистанттык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билим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берүү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департ</w:t>
            </w:r>
            <w:r w:rsidRPr="006D6F4D">
              <w:rPr>
                <w:color w:val="000000"/>
                <w:sz w:val="27"/>
                <w:szCs w:val="27"/>
              </w:rPr>
              <w:t>а</w:t>
            </w:r>
            <w:r w:rsidRPr="006D6F4D">
              <w:rPr>
                <w:color w:val="000000"/>
                <w:sz w:val="27"/>
                <w:szCs w:val="27"/>
              </w:rPr>
              <w:t>менти</w:t>
            </w:r>
            <w:proofErr w:type="spellEnd"/>
          </w:p>
        </w:tc>
      </w:tr>
      <w:tr w:rsidR="00145703" w:rsidRPr="006D6F4D" w:rsidTr="00AF3E05">
        <w:trPr>
          <w:trHeight w:val="172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Электрондук жана дистанттык билим берүү боюнча эл аралык конференция жана семинарларга катышуу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</w:t>
            </w:r>
            <w:r w:rsidRPr="006D6F4D">
              <w:rPr>
                <w:color w:val="000000"/>
                <w:sz w:val="27"/>
                <w:szCs w:val="27"/>
              </w:rPr>
              <w:t>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ТДББД</w:t>
            </w:r>
          </w:p>
        </w:tc>
      </w:tr>
      <w:tr w:rsidR="00145703" w:rsidRPr="006D6F4D" w:rsidTr="00AF3E05">
        <w:trPr>
          <w:trHeight w:val="1709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Электрондук окуулуктарды жана дистанттык курстарды иштеп чыгуу бою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ча окуу семинарларын уюштуруу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</w:t>
            </w:r>
            <w:r w:rsidRPr="006D6F4D">
              <w:rPr>
                <w:color w:val="000000"/>
                <w:sz w:val="27"/>
                <w:szCs w:val="27"/>
              </w:rPr>
              <w:t>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ТДББД</w:t>
            </w:r>
          </w:p>
        </w:tc>
      </w:tr>
      <w:tr w:rsidR="00145703" w:rsidRPr="006D6F4D" w:rsidTr="00AF3E05">
        <w:trPr>
          <w:trHeight w:val="215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Электрондук окуу материалдардын сапатын жана эффективдүүлүгүн баалоочу критерийлерди жана механизмдерди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</w:t>
            </w:r>
            <w:r w:rsidRPr="006D6F4D">
              <w:rPr>
                <w:color w:val="000000"/>
                <w:sz w:val="27"/>
                <w:szCs w:val="27"/>
              </w:rPr>
              <w:t>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ТДББД, АББСД, ОИД, Метод 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ңеш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1.12 Иштелип чыккан электрондук окуу материалдардын санын көбө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й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түү</w:t>
            </w:r>
            <w:r w:rsidRPr="006D6F4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процессинде электрондук жана инновациялык окуулуктарды колдонуу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Факультеттин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декандары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, Кафедра башчылары, </w:t>
            </w:r>
            <w:r w:rsidRPr="006D6F4D">
              <w:rPr>
                <w:color w:val="000000"/>
                <w:sz w:val="27"/>
                <w:szCs w:val="27"/>
              </w:rPr>
              <w:t>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ТДББД, ОИД, АББСД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1.13 Университеттин автоматташтырылган информациялык системасын (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AVN</w:t>
            </w:r>
            <w:r w:rsidRPr="006D6F4D">
              <w:rPr>
                <w:color w:val="000000"/>
                <w:sz w:val="27"/>
                <w:szCs w:val="27"/>
              </w:rPr>
              <w:t xml:space="preserve">, ж.б.)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окутуунун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кредиттик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техноло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-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гиясына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ылайык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 жакшыртуу.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Автоматташтырылган информациялык си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с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теманын (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AVN</w:t>
            </w:r>
            <w:r w:rsidRPr="006D6F4D">
              <w:rPr>
                <w:color w:val="000000"/>
                <w:sz w:val="27"/>
                <w:szCs w:val="27"/>
              </w:rPr>
              <w:t xml:space="preserve">, ж.б.)  </w:t>
            </w:r>
            <w:proofErr w:type="spellStart"/>
            <w:r w:rsidRPr="006D6F4D">
              <w:rPr>
                <w:sz w:val="27"/>
                <w:szCs w:val="27"/>
              </w:rPr>
              <w:t>функционалдык</w:t>
            </w:r>
            <w:proofErr w:type="spellEnd"/>
            <w:r w:rsidRPr="006D6F4D">
              <w:rPr>
                <w:sz w:val="27"/>
                <w:szCs w:val="27"/>
              </w:rPr>
              <w:t xml:space="preserve"> м</w:t>
            </w:r>
            <w:r w:rsidRPr="006D6F4D">
              <w:rPr>
                <w:sz w:val="27"/>
                <w:szCs w:val="27"/>
                <w:lang w:val="ky-KG"/>
              </w:rPr>
              <w:t>үмкүнчүлү</w:t>
            </w:r>
            <w:r w:rsidRPr="006D6F4D">
              <w:rPr>
                <w:sz w:val="27"/>
                <w:szCs w:val="27"/>
                <w:lang w:val="ky-KG"/>
              </w:rPr>
              <w:t>к</w:t>
            </w:r>
            <w:r w:rsidRPr="006D6F4D">
              <w:rPr>
                <w:sz w:val="27"/>
                <w:szCs w:val="27"/>
                <w:lang w:val="ky-KG"/>
              </w:rPr>
              <w:t>тө</w:t>
            </w:r>
            <w:proofErr w:type="gramStart"/>
            <w:r w:rsidRPr="006D6F4D">
              <w:rPr>
                <w:sz w:val="27"/>
                <w:szCs w:val="27"/>
                <w:lang w:val="ky-KG"/>
              </w:rPr>
              <w:t>р</w:t>
            </w:r>
            <w:proofErr w:type="gramEnd"/>
            <w:r w:rsidRPr="006D6F4D">
              <w:rPr>
                <w:sz w:val="27"/>
                <w:szCs w:val="27"/>
                <w:lang w:val="ky-KG"/>
              </w:rPr>
              <w:t>үн к</w:t>
            </w:r>
            <w:r w:rsidRPr="006D6F4D">
              <w:rPr>
                <w:sz w:val="27"/>
                <w:szCs w:val="27"/>
                <w:lang w:val="ky-KG"/>
              </w:rPr>
              <w:t>ө</w:t>
            </w:r>
            <w:r w:rsidRPr="006D6F4D">
              <w:rPr>
                <w:sz w:val="27"/>
                <w:szCs w:val="27"/>
                <w:lang w:val="ky-KG"/>
              </w:rPr>
              <w:t>бөйтүү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Санариптик технологияларды өнүктүрүү борбору, Факультеттин декандары, Кафедра башчылары, ОИД</w:t>
            </w:r>
          </w:p>
        </w:tc>
      </w:tr>
      <w:tr w:rsidR="00145703" w:rsidRPr="006D6F4D" w:rsidTr="00AF3E05">
        <w:trPr>
          <w:trHeight w:val="3294"/>
        </w:trPr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highlight w:val="yellow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1.14 Дистанттык билим берүүнүн заманбап технологиялык жана методологиялык тала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п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тарына жооп берген университеттин өздүк дистан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тык билим берүү системасын иштеп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чыгуу.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Университеттин өздүк дистанттык билим берүү системасын ишке киргизүү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Окуу иштери боюнча проректор, ЖТДББД, Санариптик технологияларды өнүктүрүү борбору, Факультеттин декандары, Кафедра башчылары,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ОИД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1.15 Жакынкы жана алыскы чет өлкөлүк университеттердин студенттери үчүн өнөктөш университеттердин ок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у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туучулары тарабынан иштелип чыгып, коштолуучу дистанттык курстардын санын көбөйтүү жана окуу пр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о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цессине киргизүү.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Өздөштүрүлгөн жана ишке ашырылган дистанттык билим берүү курстарынын үлүшү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9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12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ЖТДББД, Санариптик технологияларды өнүктүрүү борбору, Факультеттин декандары, Кафедра башчылары, ОИД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1.16 Дистанттык окутууну ишке ашыруу үчүн аппараттык жана программалык камсыздоону жакшыртуу.</w:t>
            </w:r>
          </w:p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Д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истан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ттык</w:t>
            </w:r>
            <w:r w:rsidRPr="006D6F4D">
              <w:rPr>
                <w:color w:val="000000"/>
                <w:sz w:val="27"/>
                <w:szCs w:val="27"/>
              </w:rPr>
              <w:t xml:space="preserve"> курс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тарды коштоо үчүн  </w:t>
            </w:r>
            <w:r w:rsidRPr="006D6F4D">
              <w:rPr>
                <w:color w:val="000000"/>
                <w:sz w:val="27"/>
                <w:szCs w:val="27"/>
              </w:rPr>
              <w:t>компьютер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дик жана программалык жабдылыштарды</w:t>
            </w:r>
            <w:r w:rsidRPr="006D6F4D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тьютор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дук </w:t>
            </w:r>
            <w:r w:rsidRPr="006D6F4D">
              <w:rPr>
                <w:color w:val="000000"/>
                <w:sz w:val="27"/>
                <w:szCs w:val="27"/>
              </w:rPr>
              <w:t xml:space="preserve"> класс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тардын жабдууларын м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одернизация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лоо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ЖТДББД, Санариптик технологияларды өнүктүрүү борбору, Факультеттин декандары, Кафедра башчылары, ОИД</w:t>
            </w:r>
          </w:p>
        </w:tc>
      </w:tr>
      <w:tr w:rsidR="00145703" w:rsidRPr="006D6F4D" w:rsidTr="00AF3E05">
        <w:trPr>
          <w:trHeight w:val="317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b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1.17 Студенттердин республикалык жана эл аралык академиялык мобилдүүлүгүн көбөйтүү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Бакалавриатта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9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12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кандары</w:t>
            </w:r>
          </w:p>
        </w:tc>
      </w:tr>
      <w:tr w:rsidR="00145703" w:rsidRPr="006D6F4D" w:rsidTr="00AF3E05">
        <w:trPr>
          <w:trHeight w:val="348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Магистратурада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</w:t>
            </w:r>
          </w:p>
        </w:tc>
      </w:tr>
      <w:tr w:rsidR="00145703" w:rsidRPr="006D6F4D" w:rsidTr="00AF3E05">
        <w:trPr>
          <w:trHeight w:val="832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</w:p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k-KZ"/>
              </w:rPr>
              <w:t>Докторантурада  %;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1.18 С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тудент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тердин</w:t>
            </w:r>
            <w:r w:rsidRPr="006D6F4D">
              <w:rPr>
                <w:color w:val="000000"/>
                <w:sz w:val="27"/>
                <w:szCs w:val="27"/>
              </w:rPr>
              <w:t>, магистрант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тардын</w:t>
            </w:r>
            <w:r w:rsidRPr="006D6F4D">
              <w:rPr>
                <w:color w:val="000000"/>
                <w:sz w:val="27"/>
                <w:szCs w:val="27"/>
              </w:rPr>
              <w:t>, докт</w:t>
            </w:r>
            <w:r w:rsidRPr="006D6F4D">
              <w:rPr>
                <w:color w:val="000000"/>
                <w:sz w:val="27"/>
                <w:szCs w:val="27"/>
              </w:rPr>
              <w:t>о</w:t>
            </w:r>
            <w:r w:rsidRPr="006D6F4D">
              <w:rPr>
                <w:color w:val="000000"/>
                <w:sz w:val="27"/>
                <w:szCs w:val="27"/>
              </w:rPr>
              <w:t>рант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тардын алмашуу программал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рын күчөтүү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Алмашуу программалары боюнча с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парларга жөнөтүү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Б, ОИД, ЭАББ</w:t>
            </w:r>
          </w:p>
        </w:tc>
      </w:tr>
      <w:tr w:rsidR="00145703" w:rsidRPr="006D6F4D" w:rsidTr="00AF3E05">
        <w:trPr>
          <w:trHeight w:val="1978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72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1.19 Магистратуранын жана докторантуранын жаңы билим берүү программаларын 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ш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теп чыгуу жана ишке ашыруу, окуу процесси жана илимдин инте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рациясынын негизинде магистратура жана докторантуранын прораммаларынын мазмунун жаңылоо жана жакшыртуу, эл аралык билим берүү кызмат көрсөтүү мейкиндиги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де ЖОЖдон 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йинки билим берүү программал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рын атаандашт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ы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гын  жана дипломдорубузду таануусун камсыздоо.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Дүйнөлүк илимдин өнүгүү тенденцияларын эске алган дисциплинлар аралык билим берүү про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раммалар  үчүн  ЖОП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1448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72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Өнөктөш ЖОЖдор менен кызматташтыкта билим берүү программаларын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4012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72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k-KZ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Англис тилдүү профессордук-окутуучулук курам, англис тилинде окутуулуучу магистр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туранын жана докторантуранын билим берүү программалары үчүн ЖОП и</w:t>
            </w:r>
            <w:r w:rsidRPr="006D6F4D">
              <w:rPr>
                <w:color w:val="000000"/>
                <w:sz w:val="27"/>
                <w:szCs w:val="27"/>
                <w:lang w:val="kk-KZ"/>
              </w:rPr>
              <w:t>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2721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2.1 Магистранттарды жана докторанттарды кесиптик даярдоонун илимий компонентин күчтө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дүрүү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Эл аралык тажрыйбаларды эске алуу менен заманбап илимдин өнүгүү тенденцияларына жана 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лим берүү программасынын профилине дал келген илимий изилдөөлөрдү  жүргүзүү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1434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Илимий тематикаларга илимий мекемелердин сырткы эксперттери тарабынан баа берилишин камсыздоо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2516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Илимий-педагогикалык багыттагы даярдоонун магистранттарын жана докторанттарын</w:t>
            </w: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 xml:space="preserve"> университеттин илимий долбоорлоруна 100 % катышууга тартуу.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80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2445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Магистранттар жана докторанттар үчүн илимий изилдөө институттары (мындан ары ИИИ) боюнча адистештирилген илимий семинарлардын системасын ж.б.камсыздоо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1748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2.2 Магистратура жана докторантурада окугандардын үлүшүн 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ө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бөйтүү</w:t>
            </w:r>
          </w:p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</w:rPr>
              <w:t>202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4-жылга</w:t>
            </w:r>
            <w:r w:rsidRPr="006D6F4D">
              <w:rPr>
                <w:color w:val="000000"/>
                <w:sz w:val="27"/>
                <w:szCs w:val="27"/>
              </w:rPr>
              <w:t xml:space="preserve"> магистрант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тардын үлүшү (жалпы студенттердин контингентт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нин)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Кафедра башчылары,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Б, ОИД, ЭАББ, </w:t>
            </w:r>
            <w:r w:rsidRPr="006D6F4D">
              <w:rPr>
                <w:color w:val="000000"/>
                <w:sz w:val="27"/>
                <w:szCs w:val="27"/>
              </w:rPr>
              <w:t xml:space="preserve">Илим </w:t>
            </w:r>
            <w:proofErr w:type="spellStart"/>
            <w:r w:rsidRPr="006D6F4D">
              <w:rPr>
                <w:color w:val="000000"/>
                <w:sz w:val="27"/>
                <w:szCs w:val="27"/>
              </w:rPr>
              <w:t>жана</w:t>
            </w:r>
            <w:proofErr w:type="spellEnd"/>
            <w:r w:rsidRPr="006D6F4D">
              <w:rPr>
                <w:color w:val="000000"/>
                <w:sz w:val="27"/>
                <w:szCs w:val="27"/>
              </w:rPr>
              <w:t xml:space="preserve"> аспирантура бөлүмү</w:t>
            </w:r>
          </w:p>
        </w:tc>
      </w:tr>
      <w:tr w:rsidR="00145703" w:rsidRPr="006D6F4D" w:rsidTr="00AF3E05">
        <w:trPr>
          <w:trHeight w:val="467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proofErr w:type="spellStart"/>
            <w:r w:rsidRPr="006D6F4D">
              <w:rPr>
                <w:color w:val="000000"/>
                <w:sz w:val="27"/>
                <w:szCs w:val="27"/>
              </w:rPr>
              <w:t>докторан</w:t>
            </w:r>
            <w:proofErr w:type="spellEnd"/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ардын үлүшү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0,5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1,5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Факультеттин декандары, Мж</w:t>
            </w:r>
            <w:r w:rsidRPr="006D6F4D">
              <w:rPr>
                <w:color w:val="000000"/>
                <w:sz w:val="27"/>
                <w:szCs w:val="27"/>
                <w:lang w:val="en-US"/>
              </w:rPr>
              <w:t>PhD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</w:t>
            </w:r>
          </w:p>
        </w:tc>
      </w:tr>
      <w:tr w:rsidR="00145703" w:rsidRPr="006D6F4D" w:rsidTr="00AF3E05">
        <w:trPr>
          <w:trHeight w:val="1570"/>
        </w:trPr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3.1 Предметтерди жана окутуучуларды студенттердин тандоос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у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на шарт түзүү.</w:t>
            </w:r>
          </w:p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Студенттердин тандоо эркиндигин к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лыптандыруу,</w:t>
            </w:r>
          </w:p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Окутуучуларды тандоо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тин декандары, Кафедра башчылары, ОИД, АББСД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4.1 Эмгек рыногун мониторин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дөө жана иш берүүчүлөр менен байл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ныштарды жөнгө салуу боюнча ка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ьера жана бизнес борборлорунун ишин уюштуруу.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Карьера жана бизнес борборлорунун ишин өркүндөтүү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тин декандары, Кафедра башчылары, ОИД, АББСД, Карьера борбору, Өндүрүштөр менен байланыштар департаменти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4.2 Иш берүүчүлөрдү окуу пла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дарды биргелешип иштеп ч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ы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гууга, дипломдук иштерди, магистрдик жана доктордук диссертацияларды коргоолорго тартуу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Иш берүүчүлөрдүн билим берүү программаларын иштеп чыгууга катышуусун кеңейтүү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тин декандары, Кафедра башчылары, ОИД, АББСД, Карьера борбору, Өндүрүштөр менен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байланыштар департаменти, Юрист</w:t>
            </w:r>
          </w:p>
        </w:tc>
      </w:tr>
      <w:tr w:rsidR="00145703" w:rsidRPr="006D6F4D" w:rsidTr="00AF3E05">
        <w:trPr>
          <w:trHeight w:val="1432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4.3 Университеттин Иш берүүч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ү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лөр кеңешин түзүү жана анын курамында улуттук компаниялардын жана ири бизнес–ишканалардын өкүлдөрүн көбөйтүү.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КРдин ББжИМдин алдында Иш берүүчүлөр кеңешин түзүү боюнча сунуш берүү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Окуу иштери боюнча проректор,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борбору, Өндүрүштөр менен байланыштар департ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менти, Юрист</w:t>
            </w:r>
          </w:p>
        </w:tc>
      </w:tr>
      <w:tr w:rsidR="00145703" w:rsidRPr="006D6F4D" w:rsidTr="00AF3E05">
        <w:trPr>
          <w:trHeight w:val="2160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Ишканалардын жаш кызматкерлеринин үлүшүнө карай салыктык жеңилдиктердин өлчөмүн 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китүү боюнча сунуш киргизүү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b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Окуу иштери боюнча проректор,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борбору, Өндүрүштөр менен байланыштар департ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менти, Юрист</w:t>
            </w:r>
          </w:p>
        </w:tc>
      </w:tr>
      <w:tr w:rsidR="00145703" w:rsidRPr="006D6F4D" w:rsidTr="00AF3E05">
        <w:trPr>
          <w:trHeight w:val="3354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4.4 Студенттерди билим алуу мезгилинде ишкердикке тартуу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sz w:val="27"/>
                <w:szCs w:val="27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ЖОЖдордун алдындагы инновациялык, өндүрүштүк ишканаларга салыктык жана башка жеңилдиктерди берүү боюнча мыйзамдык актыларга өзгөртүүлөрдү киргизүү сунуштарын иштеп чыгуу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sz w:val="27"/>
                <w:szCs w:val="27"/>
                <w:lang w:val="ky-KG"/>
              </w:rPr>
              <w:t xml:space="preserve">Окуу иштери боюнча проректор,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борбору, Өндүрүштөр менен байланыштар департ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менти, Юрист</w:t>
            </w:r>
          </w:p>
        </w:tc>
      </w:tr>
      <w:tr w:rsidR="00145703" w:rsidRPr="006D6F4D" w:rsidTr="00AF3E05">
        <w:trPr>
          <w:trHeight w:val="701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Университеттин структурасында өндүрүштүк ишканалардын, бизнестин ийкемдүү ишкердүүлүк структураларын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 xml:space="preserve">түзүү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</w:t>
            </w:r>
            <w:r w:rsidRPr="006D6F4D">
              <w:rPr>
                <w:sz w:val="27"/>
                <w:szCs w:val="27"/>
                <w:lang w:val="ky-KG"/>
              </w:rPr>
              <w:t>к</w:t>
            </w:r>
            <w:r w:rsidRPr="006D6F4D">
              <w:rPr>
                <w:sz w:val="27"/>
                <w:szCs w:val="27"/>
                <w:lang w:val="ky-KG"/>
              </w:rPr>
              <w:t>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 xml:space="preserve">тин декандары,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о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ру, Өндүрүштөр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менен байл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ныштар депа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таменти</w:t>
            </w:r>
          </w:p>
        </w:tc>
      </w:tr>
      <w:tr w:rsidR="00145703" w:rsidRPr="006D6F4D" w:rsidTr="00AF3E05">
        <w:trPr>
          <w:trHeight w:val="1068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Студенттердин ишкердикке катышуусу 2024-жылга </w:t>
            </w:r>
            <w:r w:rsidRPr="006D6F4D">
              <w:rPr>
                <w:color w:val="000000"/>
                <w:sz w:val="27"/>
                <w:szCs w:val="27"/>
              </w:rPr>
              <w:t xml:space="preserve">15 %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дан кем эмес</w:t>
            </w:r>
            <w:r w:rsidRPr="006D6F4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7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 xml:space="preserve">тин декандары,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борбору, Өндүрүштөр менен байланыштар депа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таменти</w:t>
            </w:r>
          </w:p>
        </w:tc>
      </w:tr>
      <w:tr w:rsidR="00145703" w:rsidRPr="006D6F4D" w:rsidTr="00AF3E05">
        <w:tc>
          <w:tcPr>
            <w:tcW w:w="2552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4.5 Иш берүүчүлөрдүн буюртмалары боюнча адистерди максаттуу даярдоо</w:t>
            </w:r>
            <w:r w:rsidRPr="006D6F4D">
              <w:rPr>
                <w:color w:val="000000"/>
                <w:sz w:val="27"/>
                <w:szCs w:val="27"/>
              </w:rPr>
              <w:t xml:space="preserve"> (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мамлекеттик органдар</w:t>
            </w:r>
            <w:r w:rsidRPr="006D6F4D">
              <w:rPr>
                <w:color w:val="000000"/>
                <w:sz w:val="27"/>
                <w:szCs w:val="27"/>
              </w:rPr>
              <w:t xml:space="preserve">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ишканалар</w:t>
            </w:r>
            <w:r w:rsidRPr="006D6F4D">
              <w:rPr>
                <w:color w:val="000000"/>
                <w:sz w:val="27"/>
                <w:szCs w:val="27"/>
              </w:rPr>
              <w:t>, бизнес-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коомчулугу</w:t>
            </w:r>
            <w:r w:rsidRPr="006D6F4D">
              <w:rPr>
                <w:color w:val="000000"/>
                <w:sz w:val="27"/>
                <w:szCs w:val="27"/>
              </w:rPr>
              <w:t xml:space="preserve">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илимий уюмдар</w:t>
            </w:r>
            <w:r w:rsidRPr="006D6F4D">
              <w:rPr>
                <w:color w:val="000000"/>
                <w:sz w:val="27"/>
                <w:szCs w:val="27"/>
              </w:rPr>
              <w:t xml:space="preserve">),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и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ш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берүүчү-ишканалардын санын, анын ичинде чет өлкөлүк компаниялар аркылуу келишимдерди жана макулдашууларды түзүү менен көбөйтүү</w:t>
            </w:r>
            <w:r w:rsidRPr="006D6F4D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Иш берүүчүлөрдүн буюртмалары боюнча максаттуу даярдалуучу студенттердин үлүшү %</w:t>
            </w:r>
          </w:p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6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8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 xml:space="preserve">тин декандары,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Карьера борбору, Өндүрүштөр менен байланыштар депа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таменти</w:t>
            </w:r>
          </w:p>
        </w:tc>
      </w:tr>
      <w:tr w:rsidR="00145703" w:rsidRPr="006D6F4D" w:rsidTr="00AF3E05">
        <w:trPr>
          <w:trHeight w:val="862"/>
        </w:trPr>
        <w:tc>
          <w:tcPr>
            <w:tcW w:w="2552" w:type="dxa"/>
            <w:vMerge w:val="restart"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4.6 ЖОЖго ч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йинки даярдоо жана кабыл алуу бо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борлорунун ишин уюштуруу, ЖО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Ж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го таланттуу жана мыкты дая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дыктагы жаштарды та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р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 xml:space="preserve">туу боюнча максаттуу 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lastRenderedPageBreak/>
              <w:t>саяса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</w:t>
            </w:r>
            <w:r w:rsidRPr="006D6F4D">
              <w:rPr>
                <w:color w:val="000000"/>
                <w:sz w:val="27"/>
                <w:szCs w:val="27"/>
                <w:lang w:val="ky-KG"/>
              </w:rPr>
              <w:t>ты ишке ашыруу</w:t>
            </w: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lastRenderedPageBreak/>
              <w:t xml:space="preserve">“Алтын сертификаттын” ээлеринин саны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7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>тин декандары</w:t>
            </w:r>
          </w:p>
        </w:tc>
      </w:tr>
      <w:tr w:rsidR="00145703" w:rsidRPr="006D6F4D" w:rsidTr="00AF3E05">
        <w:trPr>
          <w:trHeight w:val="1139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эл аралык жана республикалык олимпиадалардын ж</w:t>
            </w: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е</w:t>
            </w: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ңүүчүлөрүнүн саны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7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>тин декандары</w:t>
            </w:r>
          </w:p>
        </w:tc>
      </w:tr>
      <w:tr w:rsidR="00145703" w:rsidRPr="006D6F4D" w:rsidTr="00AF3E05">
        <w:trPr>
          <w:trHeight w:val="1271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Чет элдик студенттердин үлүшү %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15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20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25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30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>тин декандары</w:t>
            </w:r>
          </w:p>
        </w:tc>
      </w:tr>
      <w:tr w:rsidR="00145703" w:rsidRPr="006D6F4D" w:rsidTr="00AF3E05">
        <w:trPr>
          <w:trHeight w:val="820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 xml:space="preserve">Бардык аймактарда ОшМУнун “Билим” фестивалын өткөрүү 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>тин декандары</w:t>
            </w:r>
          </w:p>
        </w:tc>
      </w:tr>
      <w:tr w:rsidR="00145703" w:rsidRPr="006D6F4D" w:rsidTr="00AF3E05">
        <w:trPr>
          <w:trHeight w:val="1543"/>
        </w:trPr>
        <w:tc>
          <w:tcPr>
            <w:tcW w:w="2552" w:type="dxa"/>
            <w:vMerge/>
          </w:tcPr>
          <w:p w:rsidR="00145703" w:rsidRPr="006D6F4D" w:rsidRDefault="00145703" w:rsidP="00AF0DC7">
            <w:pPr>
              <w:tabs>
                <w:tab w:val="left" w:pos="807"/>
              </w:tabs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</w:p>
        </w:tc>
        <w:tc>
          <w:tcPr>
            <w:tcW w:w="2484" w:type="dxa"/>
          </w:tcPr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>ОшМУнун студенттик клубдарынын,</w:t>
            </w:r>
          </w:p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 xml:space="preserve"> ийримдеринин,</w:t>
            </w:r>
          </w:p>
          <w:p w:rsidR="00145703" w:rsidRPr="006D6F4D" w:rsidRDefault="00145703" w:rsidP="00AF0DC7">
            <w:pPr>
              <w:spacing w:after="0" w:line="240" w:lineRule="auto"/>
              <w:rPr>
                <w:bCs/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bCs/>
                <w:color w:val="000000"/>
                <w:sz w:val="27"/>
                <w:szCs w:val="27"/>
                <w:lang w:val="ky-KG"/>
              </w:rPr>
              <w:t xml:space="preserve"> секцияларынын ярмаркаларын өткөрүү</w:t>
            </w:r>
          </w:p>
        </w:tc>
        <w:tc>
          <w:tcPr>
            <w:tcW w:w="553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554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706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color w:val="000000"/>
                <w:sz w:val="27"/>
                <w:szCs w:val="27"/>
                <w:lang w:val="ky-KG"/>
              </w:rPr>
              <w:t>Х</w:t>
            </w:r>
          </w:p>
        </w:tc>
        <w:tc>
          <w:tcPr>
            <w:tcW w:w="2190" w:type="dxa"/>
          </w:tcPr>
          <w:p w:rsidR="00145703" w:rsidRPr="006D6F4D" w:rsidRDefault="00145703" w:rsidP="00AF0DC7">
            <w:pPr>
              <w:spacing w:after="0" w:line="240" w:lineRule="auto"/>
              <w:rPr>
                <w:color w:val="000000"/>
                <w:sz w:val="27"/>
                <w:szCs w:val="27"/>
                <w:lang w:val="ky-KG"/>
              </w:rPr>
            </w:pPr>
            <w:r w:rsidRPr="006D6F4D">
              <w:rPr>
                <w:sz w:val="27"/>
                <w:szCs w:val="27"/>
                <w:lang w:val="ky-KG"/>
              </w:rPr>
              <w:t>Окуу иштери боюнча проректор, Факульте</w:t>
            </w:r>
            <w:r w:rsidRPr="006D6F4D">
              <w:rPr>
                <w:sz w:val="27"/>
                <w:szCs w:val="27"/>
                <w:lang w:val="ky-KG"/>
              </w:rPr>
              <w:t>т</w:t>
            </w:r>
            <w:r w:rsidRPr="006D6F4D">
              <w:rPr>
                <w:sz w:val="27"/>
                <w:szCs w:val="27"/>
                <w:lang w:val="ky-KG"/>
              </w:rPr>
              <w:t>тин декандары</w:t>
            </w:r>
          </w:p>
        </w:tc>
      </w:tr>
    </w:tbl>
    <w:p w:rsidR="00145703" w:rsidRDefault="00145703" w:rsidP="00145703">
      <w:pPr>
        <w:pStyle w:val="a3"/>
        <w:spacing w:after="0" w:line="240" w:lineRule="auto"/>
        <w:ind w:left="0"/>
        <w:rPr>
          <w:b/>
          <w:i/>
          <w:lang w:val="ky-KG"/>
        </w:rPr>
      </w:pPr>
    </w:p>
    <w:p w:rsidR="00145703" w:rsidRPr="0073482B" w:rsidRDefault="00145703" w:rsidP="00145703">
      <w:pPr>
        <w:pStyle w:val="a3"/>
        <w:spacing w:after="0" w:line="240" w:lineRule="auto"/>
        <w:ind w:left="0"/>
      </w:pPr>
      <w:r w:rsidRPr="0073482B">
        <w:rPr>
          <w:b/>
          <w:i/>
          <w:lang w:val="ky-KG"/>
        </w:rPr>
        <w:t>Эскертүү:</w:t>
      </w:r>
      <w:r>
        <w:rPr>
          <w:i/>
          <w:lang w:val="ky-KG"/>
        </w:rPr>
        <w:t xml:space="preserve"> </w:t>
      </w:r>
      <w:r>
        <w:t>Х–</w:t>
      </w:r>
      <w:proofErr w:type="spellStart"/>
      <w:r>
        <w:t>дайыма</w:t>
      </w:r>
      <w:proofErr w:type="spellEnd"/>
      <w:r>
        <w:t xml:space="preserve"> </w:t>
      </w:r>
      <w:proofErr w:type="spellStart"/>
      <w:r>
        <w:t>аткарылуучу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чаралар</w:t>
      </w:r>
      <w:proofErr w:type="spellEnd"/>
      <w:r>
        <w:t>.</w:t>
      </w:r>
    </w:p>
    <w:p w:rsidR="00145703" w:rsidRDefault="00145703" w:rsidP="00145703">
      <w:pPr>
        <w:pStyle w:val="1"/>
        <w:spacing w:before="0"/>
        <w:jc w:val="center"/>
        <w:rPr>
          <w:sz w:val="26"/>
          <w:szCs w:val="26"/>
        </w:rPr>
      </w:pPr>
    </w:p>
    <w:p w:rsidR="00145703" w:rsidRDefault="00145703" w:rsidP="00145703">
      <w:pPr>
        <w:spacing w:after="0" w:line="240" w:lineRule="auto"/>
        <w:rPr>
          <w:b/>
          <w:lang w:val="ky-KG"/>
        </w:rPr>
      </w:pPr>
    </w:p>
    <w:p w:rsidR="00145703" w:rsidRDefault="00145703" w:rsidP="00145703">
      <w:pPr>
        <w:spacing w:after="0" w:line="240" w:lineRule="auto"/>
        <w:rPr>
          <w:b/>
          <w:lang w:val="ky-KG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2127341</wp:posOffset>
            </wp:positionH>
            <wp:positionV relativeFrom="paragraph">
              <wp:posOffset>8981</wp:posOffset>
            </wp:positionV>
            <wp:extent cx="2119993" cy="1894114"/>
            <wp:effectExtent l="19050" t="0" r="0" b="0"/>
            <wp:wrapNone/>
            <wp:docPr id="2" name="Рисунок 1" descr="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.JPG"/>
                    <pic:cNvPicPr/>
                  </pic:nvPicPr>
                  <pic:blipFill>
                    <a:blip r:embed="rId8" cstate="print"/>
                    <a:srcRect b="10769"/>
                    <a:stretch>
                      <a:fillRect/>
                    </a:stretch>
                  </pic:blipFill>
                  <pic:spPr>
                    <a:xfrm>
                      <a:off x="0" y="0"/>
                      <a:ext cx="2119993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703" w:rsidRPr="00BD3933" w:rsidRDefault="00145703" w:rsidP="00145703">
      <w:pPr>
        <w:spacing w:after="0" w:line="240" w:lineRule="auto"/>
        <w:rPr>
          <w:b/>
          <w:lang w:val="ky-KG"/>
        </w:rPr>
      </w:pPr>
      <w:r w:rsidRPr="00BD3933">
        <w:rPr>
          <w:b/>
          <w:lang w:val="ky-KG"/>
        </w:rPr>
        <w:t>ОшМУнун окуу</w:t>
      </w:r>
    </w:p>
    <w:p w:rsidR="00145703" w:rsidRPr="00BD3933" w:rsidRDefault="00145703" w:rsidP="00145703">
      <w:pPr>
        <w:spacing w:after="0" w:line="240" w:lineRule="auto"/>
        <w:rPr>
          <w:b/>
          <w:lang w:val="ky-KG"/>
        </w:rPr>
      </w:pPr>
      <w:r w:rsidRPr="00BD3933">
        <w:rPr>
          <w:b/>
          <w:lang w:val="ky-KG"/>
        </w:rPr>
        <w:t>иштери боюнча</w:t>
      </w:r>
    </w:p>
    <w:p w:rsidR="00145703" w:rsidRDefault="00145703" w:rsidP="00145703">
      <w:pPr>
        <w:spacing w:after="0" w:line="240" w:lineRule="auto"/>
        <w:rPr>
          <w:b/>
          <w:lang w:val="ky-KG"/>
        </w:rPr>
      </w:pPr>
      <w:r w:rsidRPr="00BD3933">
        <w:rPr>
          <w:b/>
          <w:lang w:val="ky-KG"/>
        </w:rPr>
        <w:t>проректору:</w:t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</w:r>
      <w:r w:rsidRPr="00BD3933">
        <w:rPr>
          <w:b/>
          <w:lang w:val="ky-KG"/>
        </w:rPr>
        <w:tab/>
        <w:t>Божонов З.С.</w:t>
      </w:r>
    </w:p>
    <w:p w:rsidR="00145703" w:rsidRDefault="00145703" w:rsidP="00145703">
      <w:pPr>
        <w:spacing w:after="0" w:line="240" w:lineRule="auto"/>
        <w:rPr>
          <w:b/>
          <w:lang w:val="ky-KG"/>
        </w:rPr>
      </w:pPr>
    </w:p>
    <w:p w:rsidR="00145703" w:rsidRDefault="00145703" w:rsidP="00145703">
      <w:pPr>
        <w:spacing w:after="0" w:line="240" w:lineRule="auto"/>
        <w:rPr>
          <w:b/>
          <w:lang w:val="ky-KG"/>
        </w:rPr>
      </w:pPr>
    </w:p>
    <w:p w:rsidR="00145703" w:rsidRPr="00E8089D" w:rsidRDefault="00145703" w:rsidP="00145703">
      <w:pPr>
        <w:spacing w:after="0" w:line="240" w:lineRule="auto"/>
        <w:rPr>
          <w:lang w:val="ky-KG"/>
        </w:rPr>
      </w:pPr>
      <w:r w:rsidRPr="00E8089D">
        <w:rPr>
          <w:lang w:val="ky-KG"/>
        </w:rPr>
        <w:t>АББСДнын директору:</w:t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  <w:t>Алтыбаева М.</w:t>
      </w:r>
      <w:r>
        <w:rPr>
          <w:lang w:val="ky-KG"/>
        </w:rPr>
        <w:t>А.</w:t>
      </w:r>
    </w:p>
    <w:p w:rsidR="00145703" w:rsidRPr="00E8089D" w:rsidRDefault="00145703" w:rsidP="00145703">
      <w:pPr>
        <w:spacing w:after="0" w:line="240" w:lineRule="auto"/>
        <w:rPr>
          <w:lang w:val="ky-KG"/>
        </w:rPr>
      </w:pPr>
    </w:p>
    <w:p w:rsidR="00145703" w:rsidRDefault="00145703" w:rsidP="00145703">
      <w:pPr>
        <w:spacing w:after="0" w:line="240" w:lineRule="auto"/>
        <w:rPr>
          <w:lang w:val="ky-KG"/>
        </w:rPr>
      </w:pPr>
      <w:r w:rsidRPr="00E8089D">
        <w:rPr>
          <w:lang w:val="ky-KG"/>
        </w:rPr>
        <w:t>ОИДдин директору:</w:t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</w:r>
      <w:r w:rsidRPr="00E8089D">
        <w:rPr>
          <w:lang w:val="ky-KG"/>
        </w:rPr>
        <w:tab/>
        <w:t>Арапбаев Р.Н.</w:t>
      </w:r>
    </w:p>
    <w:p w:rsidR="00145703" w:rsidRDefault="00145703" w:rsidP="00145703">
      <w:pPr>
        <w:spacing w:after="0" w:line="240" w:lineRule="auto"/>
        <w:rPr>
          <w:lang w:val="ky-KG"/>
        </w:rPr>
      </w:pPr>
    </w:p>
    <w:p w:rsidR="00145703" w:rsidRDefault="00145703" w:rsidP="00145703">
      <w:pPr>
        <w:spacing w:after="0" w:line="240" w:lineRule="auto"/>
        <w:rPr>
          <w:lang w:val="ky-KG"/>
        </w:rPr>
      </w:pPr>
    </w:p>
    <w:p w:rsidR="003E156C" w:rsidRPr="00145703" w:rsidRDefault="003E156C">
      <w:pPr>
        <w:rPr>
          <w:lang w:val="ky-KG"/>
        </w:rPr>
      </w:pPr>
    </w:p>
    <w:sectPr w:rsidR="003E156C" w:rsidRPr="00145703" w:rsidSect="0014570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93" w:rsidRDefault="000A7693" w:rsidP="00145703">
      <w:pPr>
        <w:spacing w:after="0" w:line="240" w:lineRule="auto"/>
      </w:pPr>
      <w:r>
        <w:separator/>
      </w:r>
    </w:p>
  </w:endnote>
  <w:endnote w:type="continuationSeparator" w:id="0">
    <w:p w:rsidR="000A7693" w:rsidRDefault="000A7693" w:rsidP="001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ILAP J+ Akrobat">
    <w:altName w:val="Akrob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332"/>
      <w:docPartObj>
        <w:docPartGallery w:val="Page Numbers (Bottom of Page)"/>
        <w:docPartUnique/>
      </w:docPartObj>
    </w:sdtPr>
    <w:sdtContent>
      <w:p w:rsidR="00145703" w:rsidRDefault="00145703">
        <w:pPr>
          <w:pStyle w:val="a8"/>
          <w:jc w:val="center"/>
        </w:pPr>
        <w:fldSimple w:instr=" PAGE   \* MERGEFORMAT ">
          <w:r w:rsidR="00AF3E05">
            <w:rPr>
              <w:noProof/>
            </w:rPr>
            <w:t>12</w:t>
          </w:r>
        </w:fldSimple>
      </w:p>
    </w:sdtContent>
  </w:sdt>
  <w:p w:rsidR="00145703" w:rsidRDefault="001457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93" w:rsidRDefault="000A7693" w:rsidP="00145703">
      <w:pPr>
        <w:spacing w:after="0" w:line="240" w:lineRule="auto"/>
      </w:pPr>
      <w:r>
        <w:separator/>
      </w:r>
    </w:p>
  </w:footnote>
  <w:footnote w:type="continuationSeparator" w:id="0">
    <w:p w:rsidR="000A7693" w:rsidRDefault="000A7693" w:rsidP="0014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F59"/>
    <w:multiLevelType w:val="hybridMultilevel"/>
    <w:tmpl w:val="2C70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360"/>
    <w:multiLevelType w:val="hybridMultilevel"/>
    <w:tmpl w:val="997CA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794A"/>
    <w:multiLevelType w:val="hybridMultilevel"/>
    <w:tmpl w:val="9BBAB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5BD7"/>
    <w:multiLevelType w:val="multilevel"/>
    <w:tmpl w:val="0EAAF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393912"/>
    <w:multiLevelType w:val="hybridMultilevel"/>
    <w:tmpl w:val="6FB27E2C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717D9"/>
    <w:multiLevelType w:val="hybridMultilevel"/>
    <w:tmpl w:val="1CF68E24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764D"/>
    <w:multiLevelType w:val="hybridMultilevel"/>
    <w:tmpl w:val="C59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3F5E"/>
    <w:multiLevelType w:val="hybridMultilevel"/>
    <w:tmpl w:val="FFC4A548"/>
    <w:lvl w:ilvl="0" w:tplc="E2D814B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72628E1"/>
    <w:multiLevelType w:val="multilevel"/>
    <w:tmpl w:val="E4BC9A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A77780"/>
    <w:multiLevelType w:val="hybridMultilevel"/>
    <w:tmpl w:val="735C148A"/>
    <w:lvl w:ilvl="0" w:tplc="E9CCC73A">
      <w:start w:val="1"/>
      <w:numFmt w:val="bullet"/>
      <w:lvlText w:val="–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5361F45"/>
    <w:multiLevelType w:val="hybridMultilevel"/>
    <w:tmpl w:val="96C69D7E"/>
    <w:lvl w:ilvl="0" w:tplc="5708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6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6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2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4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4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6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F538E"/>
    <w:multiLevelType w:val="hybridMultilevel"/>
    <w:tmpl w:val="8FA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E1A"/>
    <w:multiLevelType w:val="hybridMultilevel"/>
    <w:tmpl w:val="052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97DAB"/>
    <w:multiLevelType w:val="hybridMultilevel"/>
    <w:tmpl w:val="B4047BC2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267"/>
    <w:multiLevelType w:val="hybridMultilevel"/>
    <w:tmpl w:val="41085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D1323"/>
    <w:multiLevelType w:val="hybridMultilevel"/>
    <w:tmpl w:val="B362393A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932D0"/>
    <w:multiLevelType w:val="hybridMultilevel"/>
    <w:tmpl w:val="5CEC5930"/>
    <w:lvl w:ilvl="0" w:tplc="82B4D5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4315"/>
    <w:multiLevelType w:val="hybridMultilevel"/>
    <w:tmpl w:val="92E6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21A7"/>
    <w:multiLevelType w:val="hybridMultilevel"/>
    <w:tmpl w:val="81DC36C2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C32F1"/>
    <w:multiLevelType w:val="hybridMultilevel"/>
    <w:tmpl w:val="BAFC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66EFE"/>
    <w:multiLevelType w:val="hybridMultilevel"/>
    <w:tmpl w:val="586E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523"/>
    <w:multiLevelType w:val="hybridMultilevel"/>
    <w:tmpl w:val="866206DA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B3CB8"/>
    <w:multiLevelType w:val="hybridMultilevel"/>
    <w:tmpl w:val="1D3E2048"/>
    <w:lvl w:ilvl="0" w:tplc="E2D814B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56E093F"/>
    <w:multiLevelType w:val="hybridMultilevel"/>
    <w:tmpl w:val="CD2E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75D50"/>
    <w:multiLevelType w:val="hybridMultilevel"/>
    <w:tmpl w:val="0480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4AED"/>
    <w:multiLevelType w:val="hybridMultilevel"/>
    <w:tmpl w:val="C5CA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B25B9"/>
    <w:multiLevelType w:val="hybridMultilevel"/>
    <w:tmpl w:val="6016B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EF18A2"/>
    <w:multiLevelType w:val="hybridMultilevel"/>
    <w:tmpl w:val="7FBAA4E0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94E70"/>
    <w:multiLevelType w:val="hybridMultilevel"/>
    <w:tmpl w:val="D6A64EF8"/>
    <w:lvl w:ilvl="0" w:tplc="E9CCC7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F1D23"/>
    <w:multiLevelType w:val="multilevel"/>
    <w:tmpl w:val="E458B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B0D6885"/>
    <w:multiLevelType w:val="hybridMultilevel"/>
    <w:tmpl w:val="03FA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F79E5"/>
    <w:multiLevelType w:val="hybridMultilevel"/>
    <w:tmpl w:val="12164240"/>
    <w:lvl w:ilvl="0" w:tplc="E2D814B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31"/>
  </w:num>
  <w:num w:numId="5">
    <w:abstractNumId w:val="7"/>
  </w:num>
  <w:num w:numId="6">
    <w:abstractNumId w:val="24"/>
  </w:num>
  <w:num w:numId="7">
    <w:abstractNumId w:val="25"/>
  </w:num>
  <w:num w:numId="8">
    <w:abstractNumId w:val="8"/>
  </w:num>
  <w:num w:numId="9">
    <w:abstractNumId w:val="20"/>
  </w:num>
  <w:num w:numId="10">
    <w:abstractNumId w:val="19"/>
  </w:num>
  <w:num w:numId="11">
    <w:abstractNumId w:val="29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30"/>
  </w:num>
  <w:num w:numId="17">
    <w:abstractNumId w:val="28"/>
  </w:num>
  <w:num w:numId="18">
    <w:abstractNumId w:val="4"/>
  </w:num>
  <w:num w:numId="19">
    <w:abstractNumId w:val="15"/>
  </w:num>
  <w:num w:numId="20">
    <w:abstractNumId w:val="21"/>
  </w:num>
  <w:num w:numId="21">
    <w:abstractNumId w:val="13"/>
  </w:num>
  <w:num w:numId="22">
    <w:abstractNumId w:val="27"/>
  </w:num>
  <w:num w:numId="23">
    <w:abstractNumId w:val="9"/>
  </w:num>
  <w:num w:numId="24">
    <w:abstractNumId w:val="5"/>
  </w:num>
  <w:num w:numId="25">
    <w:abstractNumId w:val="18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17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03"/>
    <w:rsid w:val="000A7693"/>
    <w:rsid w:val="00145703"/>
    <w:rsid w:val="003E156C"/>
    <w:rsid w:val="00A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3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5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5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aliases w:val="Список нумерованный цифры,Bullet List,FooterText,numbered,List_Paragraph,Multilevel para_II,List Paragraph"/>
    <w:basedOn w:val="a"/>
    <w:link w:val="a4"/>
    <w:qFormat/>
    <w:rsid w:val="00145703"/>
    <w:pPr>
      <w:ind w:left="720"/>
      <w:contextualSpacing/>
    </w:pPr>
  </w:style>
  <w:style w:type="paragraph" w:customStyle="1" w:styleId="Default">
    <w:name w:val="Default"/>
    <w:rsid w:val="00145703"/>
    <w:pPr>
      <w:widowControl w:val="0"/>
      <w:autoSpaceDE w:val="0"/>
      <w:autoSpaceDN w:val="0"/>
      <w:adjustRightInd w:val="0"/>
      <w:spacing w:after="0" w:line="240" w:lineRule="auto"/>
    </w:pPr>
    <w:rPr>
      <w:rFonts w:ascii="BILAP J+ Akrobat" w:eastAsiaTheme="minorEastAsia" w:hAnsi="BILAP J+ Akrobat" w:cs="BILAP J+ Akrobat"/>
      <w:color w:val="000000"/>
      <w:sz w:val="24"/>
      <w:szCs w:val="24"/>
      <w:lang w:eastAsia="ru-RU"/>
    </w:rPr>
  </w:style>
  <w:style w:type="paragraph" w:customStyle="1" w:styleId="CM89">
    <w:name w:val="CM89"/>
    <w:basedOn w:val="Default"/>
    <w:next w:val="Default"/>
    <w:uiPriority w:val="99"/>
    <w:rsid w:val="00145703"/>
    <w:pPr>
      <w:spacing w:after="125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1457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703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4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703"/>
    <w:rPr>
      <w:rFonts w:ascii="Times New Roman" w:hAnsi="Times New Roman" w:cs="Times New Roman"/>
      <w:sz w:val="28"/>
      <w:szCs w:val="28"/>
    </w:rPr>
  </w:style>
  <w:style w:type="paragraph" w:customStyle="1" w:styleId="CM99">
    <w:name w:val="CM99"/>
    <w:basedOn w:val="Default"/>
    <w:next w:val="Default"/>
    <w:uiPriority w:val="99"/>
    <w:rsid w:val="00145703"/>
    <w:pPr>
      <w:spacing w:after="60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145703"/>
    <w:pPr>
      <w:spacing w:line="240" w:lineRule="atLeast"/>
    </w:pPr>
    <w:rPr>
      <w:rFonts w:cs="Times New Roman"/>
      <w:color w:val="auto"/>
    </w:rPr>
  </w:style>
  <w:style w:type="table" w:styleId="aa">
    <w:name w:val="Table Grid"/>
    <w:basedOn w:val="a1"/>
    <w:rsid w:val="0014570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1457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5703"/>
    <w:pPr>
      <w:tabs>
        <w:tab w:val="right" w:leader="dot" w:pos="9962"/>
      </w:tabs>
      <w:spacing w:before="120" w:after="120"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145703"/>
    <w:pPr>
      <w:spacing w:after="100"/>
      <w:ind w:left="280"/>
    </w:pPr>
  </w:style>
  <w:style w:type="paragraph" w:styleId="ac">
    <w:name w:val="Normal (Web)"/>
    <w:basedOn w:val="a"/>
    <w:uiPriority w:val="99"/>
    <w:unhideWhenUsed/>
    <w:rsid w:val="00145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5703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145703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703"/>
    <w:pPr>
      <w:widowControl w:val="0"/>
      <w:shd w:val="clear" w:color="auto" w:fill="FFFFFF"/>
      <w:spacing w:before="1080" w:after="3540" w:line="922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character" w:customStyle="1" w:styleId="22">
    <w:name w:val="Основной текст (2)_"/>
    <w:basedOn w:val="a0"/>
    <w:link w:val="23"/>
    <w:rsid w:val="0014570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5703"/>
    <w:pPr>
      <w:widowControl w:val="0"/>
      <w:shd w:val="clear" w:color="auto" w:fill="FFFFFF"/>
      <w:spacing w:before="420" w:after="0" w:line="370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a4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3"/>
    <w:rsid w:val="00145703"/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14570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14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HTML0">
    <w:name w:val="Стандартный HTML Знак"/>
    <w:basedOn w:val="a0"/>
    <w:link w:val="HTML"/>
    <w:rsid w:val="00145703"/>
    <w:rPr>
      <w:rFonts w:ascii="Courier New" w:eastAsia="Times New Roman" w:hAnsi="Courier New" w:cs="Courier New"/>
      <w:lang w:eastAsia="ru-RU"/>
    </w:rPr>
  </w:style>
  <w:style w:type="character" w:styleId="af">
    <w:name w:val="Emphasis"/>
    <w:basedOn w:val="a0"/>
    <w:uiPriority w:val="20"/>
    <w:qFormat/>
    <w:rsid w:val="00145703"/>
    <w:rPr>
      <w:i/>
      <w:iCs/>
    </w:rPr>
  </w:style>
  <w:style w:type="paragraph" w:styleId="af0">
    <w:name w:val="Message Header"/>
    <w:basedOn w:val="a"/>
    <w:link w:val="af1"/>
    <w:uiPriority w:val="99"/>
    <w:semiHidden/>
    <w:unhideWhenUsed/>
    <w:rsid w:val="00145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semiHidden/>
    <w:rsid w:val="0014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1457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2038</Words>
  <Characters>11620</Characters>
  <Application>Microsoft Office Word</Application>
  <DocSecurity>0</DocSecurity>
  <Lines>96</Lines>
  <Paragraphs>27</Paragraphs>
  <ScaleCrop>false</ScaleCrop>
  <Company>Home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2019-04-09T06:53:00Z</cp:lastPrinted>
  <dcterms:created xsi:type="dcterms:W3CDTF">2019-04-09T06:47:00Z</dcterms:created>
  <dcterms:modified xsi:type="dcterms:W3CDTF">2019-04-09T06:55:00Z</dcterms:modified>
</cp:coreProperties>
</file>