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41B3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CC41B3" w:rsidRPr="00CC41B3" w:rsidRDefault="00CC41B3" w:rsidP="00CC41B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C41B3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CC41B3" w:rsidRPr="00CC41B3" w:rsidRDefault="00CC41B3" w:rsidP="00CC41B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CC41B3"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CC41B3" w:rsidRPr="00CC41B3" w:rsidRDefault="00CC41B3" w:rsidP="00CC41B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CC41B3"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CC41B3" w:rsidRPr="00CC41B3" w:rsidTr="001A12D0">
        <w:trPr>
          <w:trHeight w:val="224"/>
        </w:trPr>
        <w:tc>
          <w:tcPr>
            <w:tcW w:w="1642" w:type="dxa"/>
            <w:shd w:val="clear" w:color="auto" w:fill="auto"/>
          </w:tcPr>
          <w:p w:rsidR="00CC41B3" w:rsidRPr="00CC41B3" w:rsidRDefault="00CC41B3" w:rsidP="00CC41B3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C41B3" w:rsidRPr="00CC41B3" w:rsidRDefault="00CC41B3" w:rsidP="00CC41B3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B3" w:rsidRPr="00CC41B3" w:rsidRDefault="00CC41B3" w:rsidP="00CC4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CC41B3">
        <w:rPr>
          <w:rFonts w:ascii="Times New Roman" w:hAnsi="Times New Roman"/>
          <w:sz w:val="24"/>
          <w:szCs w:val="24"/>
        </w:rPr>
        <w:t>«</w:t>
      </w:r>
      <w:r w:rsidRPr="00CC41B3">
        <w:rPr>
          <w:rFonts w:ascii="Times New Roman" w:hAnsi="Times New Roman"/>
          <w:b/>
          <w:sz w:val="24"/>
          <w:szCs w:val="24"/>
        </w:rPr>
        <w:t>Обсуждено</w:t>
      </w:r>
      <w:r w:rsidRPr="00CC41B3">
        <w:rPr>
          <w:rFonts w:ascii="Times New Roman" w:hAnsi="Times New Roman"/>
          <w:sz w:val="24"/>
          <w:szCs w:val="24"/>
        </w:rPr>
        <w:t xml:space="preserve">» __________           </w:t>
      </w:r>
      <w:r w:rsidRPr="00CC41B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«</w:t>
      </w:r>
      <w:r w:rsidRPr="00CC41B3">
        <w:rPr>
          <w:rFonts w:ascii="Times New Roman" w:hAnsi="Times New Roman"/>
          <w:b/>
          <w:bCs/>
          <w:i/>
          <w:iCs/>
          <w:sz w:val="24"/>
          <w:szCs w:val="24"/>
        </w:rPr>
        <w:t>Утверждено</w:t>
      </w:r>
      <w:r w:rsidRPr="00CC41B3">
        <w:rPr>
          <w:rFonts w:ascii="Times New Roman" w:hAnsi="Times New Roman"/>
          <w:bCs/>
          <w:i/>
          <w:iCs/>
          <w:sz w:val="24"/>
          <w:szCs w:val="24"/>
        </w:rPr>
        <w:t>» -</w:t>
      </w:r>
    </w:p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C41B3">
        <w:rPr>
          <w:rFonts w:ascii="Times New Roman" w:hAnsi="Times New Roman"/>
          <w:bCs/>
          <w:iCs/>
          <w:sz w:val="24"/>
          <w:szCs w:val="24"/>
        </w:rPr>
        <w:t>на заседании кафедры_______                                                                                          Председатель УМС</w:t>
      </w:r>
    </w:p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>Прот.№___от_______2021</w:t>
      </w:r>
      <w:r w:rsidRPr="00CC41B3">
        <w:rPr>
          <w:rFonts w:ascii="Times New Roman" w:hAnsi="Times New Roman"/>
          <w:bCs/>
          <w:iCs/>
          <w:sz w:val="24"/>
          <w:szCs w:val="24"/>
          <w:lang w:val="ky-KG"/>
        </w:rPr>
        <w:t xml:space="preserve"> г                                                                                              </w:t>
      </w:r>
      <w:r w:rsidRPr="00CC41B3">
        <w:rPr>
          <w:rFonts w:ascii="Times New Roman" w:hAnsi="Times New Roman"/>
          <w:bCs/>
          <w:iCs/>
          <w:sz w:val="24"/>
          <w:szCs w:val="24"/>
        </w:rPr>
        <w:t>факультета_________</w:t>
      </w:r>
    </w:p>
    <w:p w:rsidR="00CC41B3" w:rsidRPr="00CC41B3" w:rsidRDefault="00CC41B3" w:rsidP="00CC41B3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C41B3">
        <w:rPr>
          <w:rFonts w:ascii="Times New Roman" w:hAnsi="Times New Roman"/>
          <w:bCs/>
          <w:iCs/>
          <w:sz w:val="24"/>
          <w:szCs w:val="24"/>
        </w:rPr>
        <w:t>____________                                                                                                       _________________</w:t>
      </w:r>
    </w:p>
    <w:p w:rsidR="00CC41B3" w:rsidRPr="00CC41B3" w:rsidRDefault="00CC41B3" w:rsidP="00CC41B3">
      <w:pPr>
        <w:spacing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CC41B3">
        <w:rPr>
          <w:rFonts w:ascii="Times New Roman" w:hAnsi="Times New Roman"/>
          <w:bCs/>
          <w:iCs/>
          <w:sz w:val="24"/>
          <w:szCs w:val="24"/>
        </w:rPr>
        <w:t>Зав</w:t>
      </w:r>
      <w:proofErr w:type="gramStart"/>
      <w:r w:rsidRPr="00CC41B3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CC41B3">
        <w:rPr>
          <w:rFonts w:ascii="Times New Roman" w:hAnsi="Times New Roman"/>
          <w:bCs/>
          <w:iCs/>
          <w:sz w:val="24"/>
          <w:szCs w:val="24"/>
        </w:rPr>
        <w:t>а</w:t>
      </w:r>
      <w:proofErr w:type="spellEnd"/>
      <w:r w:rsidRPr="00CC41B3">
        <w:rPr>
          <w:rFonts w:ascii="Times New Roman" w:hAnsi="Times New Roman"/>
          <w:bCs/>
          <w:iCs/>
          <w:sz w:val="24"/>
          <w:szCs w:val="24"/>
          <w:lang w:val="ky-KG"/>
        </w:rPr>
        <w:t>ф. Садыкова А.А.</w:t>
      </w:r>
      <w:r w:rsidRPr="00CC41B3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</w:t>
      </w:r>
      <w:r w:rsidRPr="00CC41B3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Т</w:t>
      </w:r>
      <w:r w:rsidRPr="00CC41B3">
        <w:rPr>
          <w:rFonts w:ascii="Times New Roman" w:hAnsi="Times New Roman"/>
          <w:bCs/>
          <w:iCs/>
          <w:sz w:val="24"/>
          <w:szCs w:val="24"/>
        </w:rPr>
        <w:t>урсунбаева А.Т.</w:t>
      </w:r>
    </w:p>
    <w:p w:rsidR="00CC41B3" w:rsidRPr="00CC41B3" w:rsidRDefault="00CC41B3" w:rsidP="00CC4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1B3">
        <w:rPr>
          <w:rFonts w:ascii="Times New Roman" w:hAnsi="Times New Roman" w:cs="Times New Roman"/>
          <w:sz w:val="24"/>
          <w:szCs w:val="24"/>
        </w:rPr>
        <w:t>План-разр</w:t>
      </w:r>
      <w:r>
        <w:rPr>
          <w:rFonts w:ascii="Times New Roman" w:hAnsi="Times New Roman" w:cs="Times New Roman"/>
          <w:sz w:val="24"/>
          <w:szCs w:val="24"/>
        </w:rPr>
        <w:t>аботка практического занятия №10</w:t>
      </w:r>
    </w:p>
    <w:p w:rsidR="00CC41B3" w:rsidRPr="00CC41B3" w:rsidRDefault="00CC41B3" w:rsidP="00CC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B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CC41B3">
        <w:rPr>
          <w:rFonts w:ascii="Times New Roman" w:hAnsi="Times New Roman" w:cs="Times New Roman"/>
          <w:sz w:val="24"/>
          <w:szCs w:val="24"/>
        </w:rPr>
        <w:t>а тему: Болезнь Бехтерева</w:t>
      </w:r>
    </w:p>
    <w:p w:rsidR="00CC41B3" w:rsidRPr="00CC41B3" w:rsidRDefault="00CC41B3" w:rsidP="00CC41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1B3">
        <w:rPr>
          <w:rFonts w:ascii="Times New Roman" w:hAnsi="Times New Roman" w:cs="Times New Roman"/>
          <w:sz w:val="24"/>
          <w:szCs w:val="24"/>
          <w:lang w:val="ky-KG"/>
        </w:rPr>
        <w:t>по дисциплине</w:t>
      </w:r>
      <w:r w:rsidRPr="00CC41B3">
        <w:rPr>
          <w:rFonts w:ascii="Times New Roman" w:hAnsi="Times New Roman" w:cs="Times New Roman"/>
          <w:sz w:val="24"/>
          <w:szCs w:val="24"/>
        </w:rPr>
        <w:t>:</w:t>
      </w:r>
      <w:r w:rsidRPr="00CC41B3">
        <w:rPr>
          <w:rFonts w:ascii="Times New Roman" w:hAnsi="Times New Roman"/>
          <w:b/>
          <w:bCs/>
          <w:sz w:val="24"/>
          <w:szCs w:val="24"/>
        </w:rPr>
        <w:t xml:space="preserve"> «Внутренние болезни 3»</w:t>
      </w:r>
    </w:p>
    <w:p w:rsidR="00CC41B3" w:rsidRPr="00CC41B3" w:rsidRDefault="00CC41B3" w:rsidP="00CC41B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C41B3">
        <w:rPr>
          <w:rFonts w:ascii="Times New Roman" w:hAnsi="Times New Roman"/>
          <w:bCs/>
          <w:sz w:val="24"/>
          <w:szCs w:val="24"/>
        </w:rPr>
        <w:t>для студентов, обучающихся по специальности:</w:t>
      </w:r>
    </w:p>
    <w:p w:rsidR="00CC41B3" w:rsidRPr="00CC41B3" w:rsidRDefault="00CC41B3" w:rsidP="00CC41B3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CC41B3">
        <w:rPr>
          <w:rFonts w:ascii="Times New Roman" w:hAnsi="Times New Roman"/>
          <w:b/>
          <w:bCs/>
          <w:sz w:val="24"/>
          <w:szCs w:val="24"/>
        </w:rPr>
        <w:t xml:space="preserve">(560000)   </w:t>
      </w:r>
      <w:r w:rsidRPr="00CC41B3">
        <w:rPr>
          <w:rFonts w:ascii="Times New Roman" w:hAnsi="Times New Roman"/>
          <w:b/>
          <w:bCs/>
          <w:sz w:val="24"/>
          <w:szCs w:val="24"/>
          <w:lang w:val="ky-KG"/>
        </w:rPr>
        <w:t>Лечебное дело</w:t>
      </w:r>
    </w:p>
    <w:p w:rsidR="00CC41B3" w:rsidRPr="00CC41B3" w:rsidRDefault="00CC41B3" w:rsidP="00CC41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1B3" w:rsidRPr="00CC41B3" w:rsidRDefault="00CC41B3" w:rsidP="00CC41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1B3" w:rsidRPr="00CC41B3" w:rsidRDefault="00CC41B3" w:rsidP="00CC41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1B3" w:rsidRDefault="00CC41B3" w:rsidP="00CC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:rsidR="00CC41B3" w:rsidRDefault="00CC41B3" w:rsidP="00CC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C41B3" w:rsidRDefault="00CC41B3" w:rsidP="00CC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C41B3" w:rsidRDefault="00CC41B3" w:rsidP="00CC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C41B3" w:rsidRDefault="00CC41B3" w:rsidP="00CC4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C41B3" w:rsidRPr="009F71FF" w:rsidRDefault="00CC41B3" w:rsidP="00CC4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преподаватель Айтиева Ж.Т.</w:t>
      </w:r>
    </w:p>
    <w:p w:rsidR="00CC41B3" w:rsidRDefault="00CC41B3" w:rsidP="00CC41B3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 занятия:</w:t>
      </w:r>
    </w:p>
    <w:p w:rsidR="00CC41B3" w:rsidRPr="003D792C" w:rsidRDefault="00CC41B3" w:rsidP="00CC41B3">
      <w:pPr>
        <w:pStyle w:val="a7"/>
        <w:shd w:val="clear" w:color="auto" w:fill="FFFFFF"/>
        <w:spacing w:before="158" w:after="158"/>
        <w:ind w:left="158" w:right="158"/>
      </w:pPr>
      <w:r w:rsidRPr="008B4525">
        <w:t>«</w:t>
      </w:r>
      <w:r>
        <w:t>Болезнь Бехтерева</w:t>
      </w:r>
      <w:r w:rsidRPr="002412E9">
        <w:rPr>
          <w:b/>
          <w:sz w:val="28"/>
          <w:szCs w:val="28"/>
        </w:rPr>
        <w:t>»</w:t>
      </w:r>
      <w:r w:rsidRPr="0060438E">
        <w:t xml:space="preserve"> </w:t>
      </w:r>
      <w:r>
        <w:rPr>
          <w:lang w:val="ky-KG"/>
        </w:rPr>
        <w:t xml:space="preserve"> (100мин</w:t>
      </w:r>
      <w:r w:rsidRPr="0060438E">
        <w:rPr>
          <w:lang w:val="ky-KG"/>
        </w:rPr>
        <w:t>)</w:t>
      </w:r>
      <w:r w:rsidRPr="00A53655">
        <w:rPr>
          <w:rFonts w:eastAsia="+mj-ea"/>
          <w:bCs/>
          <w:color w:val="FF0000"/>
          <w:kern w:val="24"/>
        </w:rPr>
        <w:t xml:space="preserve"> </w:t>
      </w:r>
      <w:r w:rsidRPr="00A53655">
        <w:rPr>
          <w:bCs/>
          <w:i/>
        </w:rPr>
        <w:br/>
      </w:r>
      <w:r>
        <w:rPr>
          <w:b/>
          <w:sz w:val="28"/>
          <w:szCs w:val="28"/>
        </w:rPr>
        <w:t xml:space="preserve">Актуальность </w:t>
      </w:r>
      <w:r w:rsidRPr="00B15EA7">
        <w:rPr>
          <w:shd w:val="clear" w:color="auto" w:fill="FFFFFF"/>
        </w:rPr>
        <w:t>темы</w:t>
      </w:r>
      <w:r w:rsidRPr="00B15EA7">
        <w:rPr>
          <w:b/>
          <w:shd w:val="clear" w:color="auto" w:fill="FFFFFF"/>
        </w:rPr>
        <w:t>:</w:t>
      </w:r>
      <w:r w:rsidRPr="00800299">
        <w:rPr>
          <w:b/>
          <w:color w:val="0A66A7"/>
          <w:shd w:val="clear" w:color="auto" w:fill="FFFFFF"/>
        </w:rPr>
        <w:t xml:space="preserve"> </w:t>
      </w:r>
      <w:r w:rsidRPr="003D792C">
        <w:rPr>
          <w:bCs/>
        </w:rPr>
        <w:t xml:space="preserve">Распространенность </w:t>
      </w:r>
      <w:proofErr w:type="spellStart"/>
      <w:r w:rsidRPr="003D792C">
        <w:rPr>
          <w:bCs/>
        </w:rPr>
        <w:t>анкилозирующего</w:t>
      </w:r>
      <w:proofErr w:type="spellEnd"/>
      <w:r w:rsidRPr="003D792C">
        <w:rPr>
          <w:bCs/>
        </w:rPr>
        <w:t xml:space="preserve"> спондилоартрита (болезни Бехтерева) в разных странах составляет от 0,2 до 2%. Болезнь дебютирует в возрасте 15–35 лет, мужчины болеют в 3–9 раз чаще, чем женщины. Клиническая и социальная значимость данной темы обусловлена также тем, что это заболевание приводит к стойкой потери трудоспособности и </w:t>
      </w:r>
      <w:proofErr w:type="spellStart"/>
      <w:r w:rsidRPr="003D792C">
        <w:rPr>
          <w:bCs/>
        </w:rPr>
        <w:t>инвалидизации</w:t>
      </w:r>
      <w:proofErr w:type="spellEnd"/>
      <w:r w:rsidRPr="003D792C">
        <w:rPr>
          <w:bCs/>
        </w:rPr>
        <w:t xml:space="preserve"> пациентов молодого, трудоспособного, репродуктивного возраста.</w:t>
      </w:r>
    </w:p>
    <w:p w:rsidR="00CC41B3" w:rsidRPr="003D792C" w:rsidRDefault="00CC41B3" w:rsidP="00CC41B3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невозможно без знаний, полученных на предыдущих кафедрах, потому что усвоение материала базируется на умении курировать больных, оценивать данные лабораторно-инструментальных методов обследования и т. д.</w:t>
      </w:r>
    </w:p>
    <w:p w:rsidR="00CC41B3" w:rsidRDefault="00CC41B3" w:rsidP="00CC41B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Опр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еделение ББ</w:t>
      </w: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Классификация.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Этиология и п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атогенез ББ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</w:t>
      </w:r>
      <w:proofErr w:type="spellStart"/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Симптомо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комплекс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ББ. 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Диагностика и дифференциальный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диагноз ББ</w:t>
      </w: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 Показания к биопсии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почек при ББ</w:t>
      </w: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C41B3" w:rsidRPr="00892439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Терапия ББ</w:t>
      </w:r>
      <w:r w:rsidRPr="0089243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C41B3" w:rsidRDefault="00CC41B3" w:rsidP="00CC41B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Уметь дать общую характеристику и приве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 классификацию болезни Бехтерева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Знать этиологию, уметь объя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снить патогенез ББ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характеристику, привести осложнения и исходы.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Уметь диагно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стировать формы амилоидоза почек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основании микроскопической картины.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Уметь объяснить этиоло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гию и патогенез ББ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морфологическую характеристику, привести осложнения и исходы.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5. Уметь объяснить этио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логию и морфогенез ББ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классификацию стадий и морфологическую характеристику исходов.</w:t>
      </w:r>
    </w:p>
    <w:p w:rsidR="00CC41B3" w:rsidRPr="0078313A" w:rsidRDefault="00CC41B3" w:rsidP="00CC41B3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Знать классификацию, механизмы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развития ББ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Уметь провести клинико-анатомические сопоставления при различных формах. Макро- и микроскопическая характеристика, принципы </w:t>
      </w:r>
      <w:proofErr w:type="spellStart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коррегирующей</w:t>
      </w:r>
      <w:proofErr w:type="spell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терапии.</w:t>
      </w:r>
    </w:p>
    <w:p w:rsidR="00CC41B3" w:rsidRDefault="00CC41B3" w:rsidP="00CC41B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C41B3" w:rsidRPr="00144296" w:rsidRDefault="00CC41B3" w:rsidP="00CC41B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</w:p>
    <w:p w:rsidR="00CC41B3" w:rsidRPr="00A26737" w:rsidRDefault="00CC41B3" w:rsidP="00CC41B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CC41B3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CC41B3" w:rsidRPr="003D792C" w:rsidRDefault="00CC41B3" w:rsidP="00CC41B3">
      <w:pPr>
        <w:pStyle w:val="a7"/>
        <w:shd w:val="clear" w:color="auto" w:fill="F2F2F2"/>
        <w:spacing w:after="360" w:line="316" w:lineRule="atLeast"/>
      </w:pPr>
      <w:r>
        <w:rPr>
          <w:u w:val="single"/>
        </w:rPr>
        <w:t xml:space="preserve">- </w:t>
      </w:r>
      <w:r w:rsidRPr="00186EC0">
        <w:rPr>
          <w:u w:val="single"/>
        </w:rPr>
        <w:t>Учебные цел</w:t>
      </w:r>
      <w:proofErr w:type="gramStart"/>
      <w:r w:rsidRPr="00186EC0">
        <w:rPr>
          <w:u w:val="single"/>
        </w:rPr>
        <w:t>и</w:t>
      </w:r>
      <w:r w:rsidRPr="00186EC0">
        <w:t>-</w:t>
      </w:r>
      <w:proofErr w:type="gramEnd"/>
      <w:r w:rsidRPr="00186E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D792C">
        <w:rPr>
          <w:shd w:val="clear" w:color="auto" w:fill="FFFFFF"/>
        </w:rPr>
        <w:t xml:space="preserve">уметь диагностировать и лечить больных с </w:t>
      </w:r>
      <w:proofErr w:type="spellStart"/>
      <w:r w:rsidRPr="003D792C">
        <w:rPr>
          <w:shd w:val="clear" w:color="auto" w:fill="FFFFFF"/>
        </w:rPr>
        <w:t>анкилозирующим</w:t>
      </w:r>
      <w:proofErr w:type="spellEnd"/>
      <w:r w:rsidRPr="003D792C">
        <w:rPr>
          <w:shd w:val="clear" w:color="auto" w:fill="FFFFFF"/>
        </w:rPr>
        <w:t xml:space="preserve"> спондилоартритом.</w:t>
      </w:r>
    </w:p>
    <w:p w:rsidR="00CC41B3" w:rsidRPr="00861ADC" w:rsidRDefault="00CC41B3" w:rsidP="00CC41B3">
      <w:pPr>
        <w:pStyle w:val="a7"/>
        <w:shd w:val="clear" w:color="auto" w:fill="F2F2F2"/>
        <w:spacing w:after="360" w:line="316" w:lineRule="atLeast"/>
        <w:rPr>
          <w:color w:val="4D4D4D"/>
        </w:rPr>
      </w:pPr>
      <w:r>
        <w:t xml:space="preserve">- </w:t>
      </w:r>
      <w:r w:rsidRPr="00186EC0">
        <w:t xml:space="preserve">Формировать общие и профессиональные  компетенции: </w:t>
      </w:r>
    </w:p>
    <w:p w:rsidR="00CC41B3" w:rsidRPr="00FC1F0B" w:rsidRDefault="00CC41B3" w:rsidP="00CC41B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CC41B3" w:rsidRPr="00FC1F0B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CC41B3" w:rsidRPr="00FC1F0B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CC41B3" w:rsidRPr="00FC1F0B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CC41B3" w:rsidRPr="00E17A5E" w:rsidRDefault="00CC41B3" w:rsidP="00CC41B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CC41B3" w:rsidRDefault="00CC41B3" w:rsidP="00CC41B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CC41B3" w:rsidRPr="00E17A5E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CC41B3" w:rsidRPr="00B90793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CC41B3" w:rsidRPr="0069579A" w:rsidRDefault="00CC41B3" w:rsidP="00CC41B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CC41B3" w:rsidRPr="0069579A" w:rsidTr="001A12D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41B3" w:rsidRPr="0069579A" w:rsidRDefault="00CC41B3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41B3" w:rsidRPr="0069579A" w:rsidRDefault="00CC41B3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CC41B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CC41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CC41B3" w:rsidRPr="002006AF" w:rsidRDefault="00CC41B3" w:rsidP="00CC41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CC41B3" w:rsidRPr="0069579A" w:rsidRDefault="00CC41B3" w:rsidP="00CC41B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</w:tr>
      <w:tr w:rsidR="00CC41B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CC41B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CC41B3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C41B3" w:rsidRPr="002006AF" w:rsidRDefault="00CC41B3" w:rsidP="00CC4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заданий проблемного характера</w:t>
            </w:r>
          </w:p>
          <w:p w:rsidR="00CC41B3" w:rsidRPr="002006AF" w:rsidRDefault="00CC41B3" w:rsidP="00CC41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B3" w:rsidRPr="002006AF" w:rsidRDefault="00CC41B3" w:rsidP="00CC41B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CC41B3" w:rsidRPr="002006AF" w:rsidRDefault="00CC41B3" w:rsidP="00CC41B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CC41B3" w:rsidRPr="002006AF" w:rsidRDefault="00CC41B3" w:rsidP="00CC41B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CC41B3" w:rsidRPr="0069579A" w:rsidRDefault="00CC41B3" w:rsidP="00CC41B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0915"/>
      </w:tblGrid>
      <w:tr w:rsidR="00CC41B3" w:rsidRPr="0069579A" w:rsidTr="001A12D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C41B3" w:rsidRPr="0069579A" w:rsidRDefault="00CC41B3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C41B3" w:rsidRPr="0069579A" w:rsidRDefault="00CC41B3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CC41B3" w:rsidRPr="0069579A" w:rsidTr="001A12D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Pr="0069579A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CC41B3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</w:p>
          <w:p w:rsidR="00CC41B3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физиология</w:t>
            </w:r>
          </w:p>
          <w:p w:rsidR="00CC41B3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B3" w:rsidRPr="0069579A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Pr="00892439" w:rsidRDefault="00CC41B3" w:rsidP="00CC41B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анатомическое строение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опорно-двигательного аппарата</w:t>
            </w:r>
          </w:p>
          <w:p w:rsidR="00CC41B3" w:rsidRPr="00892439" w:rsidRDefault="00CC41B3" w:rsidP="00CC41B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основные функции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опорно-двигательного аппарата</w:t>
            </w:r>
          </w:p>
        </w:tc>
      </w:tr>
      <w:tr w:rsidR="00CC41B3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Pr="0069579A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CC41B3" w:rsidRPr="0069579A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опедевтика внутренних болезней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Pr="00892439" w:rsidRDefault="00CC41B3" w:rsidP="001A12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методика обследования больных с ревматологическими заболеваниями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CC41B3" w:rsidRPr="0069579A" w:rsidRDefault="00CC41B3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3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CC41B3" w:rsidRDefault="00CC41B3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Аллергология и клиническая иммунология</w:t>
            </w:r>
          </w:p>
          <w:p w:rsidR="00CC41B3" w:rsidRDefault="00CC41B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CC41B3" w:rsidRPr="0069579A" w:rsidRDefault="00CC41B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1B3" w:rsidRPr="00892439" w:rsidRDefault="00CC41B3" w:rsidP="00CC41B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типы иммунных реакций, регуляторы иммунологических реакций в организме (антигены системы HLA) аутоиммунные и </w:t>
            </w:r>
            <w:proofErr w:type="spellStart"/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иммунокомплексные</w:t>
            </w:r>
            <w:proofErr w:type="spellEnd"/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 механизмы развития болезни.</w:t>
            </w:r>
          </w:p>
          <w:p w:rsidR="00CC41B3" w:rsidRPr="00892439" w:rsidRDefault="00CC41B3" w:rsidP="00CC41B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механизмы и побочные д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ействия ГКС, НПВС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CC41B3" w:rsidRPr="005F0AAB" w:rsidRDefault="00CC41B3" w:rsidP="001A12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B3" w:rsidRPr="008D4A73" w:rsidRDefault="00CC41B3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1B3" w:rsidRDefault="00CC41B3" w:rsidP="00CC4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1B3" w:rsidRPr="008C1A0B" w:rsidRDefault="00CC41B3" w:rsidP="00CC4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CC41B3" w:rsidRDefault="00CC41B3" w:rsidP="00CC41B3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системная склеродермия</w:t>
      </w:r>
    </w:p>
    <w:p w:rsidR="00CC41B3" w:rsidRDefault="00CC41B3" w:rsidP="00CC41B3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остеоартроз</w:t>
      </w:r>
      <w:proofErr w:type="spellEnd"/>
    </w:p>
    <w:p w:rsidR="00CC41B3" w:rsidRDefault="00CC41B3" w:rsidP="00CC4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CC41B3" w:rsidRPr="0005442E" w:rsidRDefault="00CC41B3" w:rsidP="00CC4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proofErr w:type="gramStart"/>
      <w:r w:rsidRPr="00FC1F0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C1F0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CC41B3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3. –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CC41B3" w:rsidRDefault="00CC41B3" w:rsidP="00CC41B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CC41B3" w:rsidRPr="00FE348A" w:rsidRDefault="00CC41B3" w:rsidP="00CC41B3">
      <w:pPr>
        <w:pStyle w:val="a5"/>
        <w:rPr>
          <w:color w:val="424242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емы занятия студент должен </w:t>
      </w:r>
    </w:p>
    <w:p w:rsidR="00CC41B3" w:rsidRDefault="00CC41B3" w:rsidP="00CC41B3">
      <w:pPr>
        <w:pStyle w:val="a7"/>
        <w:spacing w:before="150" w:after="150"/>
        <w:ind w:left="150" w:right="150"/>
        <w:rPr>
          <w:color w:val="424242"/>
          <w:u w:val="single"/>
        </w:rPr>
      </w:pPr>
      <w:r w:rsidRPr="00CD756F">
        <w:rPr>
          <w:color w:val="424242"/>
          <w:u w:val="single"/>
        </w:rPr>
        <w:t>Знать: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Анатомо-физиологические особе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нности опорно-двигательного аппарата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Методы исслед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ования в ревматологии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Семиотика заболеваний ревматологических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болных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Механизм действия лекарственных препаратов.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Фармакодинамику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ведущих препаратов 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ГКС, НПВС,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иммуносупрессивные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препараты).</w:t>
      </w:r>
    </w:p>
    <w:p w:rsidR="00CC41B3" w:rsidRPr="00824B41" w:rsidRDefault="00CC41B3" w:rsidP="00CC41B3">
      <w:pPr>
        <w:pStyle w:val="a7"/>
        <w:spacing w:before="150" w:after="150"/>
        <w:ind w:left="150" w:right="150"/>
        <w:rPr>
          <w:color w:val="424242"/>
        </w:rPr>
      </w:pPr>
    </w:p>
    <w:p w:rsidR="00CC41B3" w:rsidRDefault="00CC41B3" w:rsidP="00CC41B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емы занятия студент должен уметь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Собрать целенаправленный анамнез (с выявлением провоцирующих и предрасполагающих факторов).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Обследовать больного с оценкой данных объективного исследования, выд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еления признаков поражения суставов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Проводить исследования функционального состояния органов и систем, степень нарушения их функций: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студент должен продемонстрировать практические навыки обследовани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 больного с заболеваниями суставов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студент должен уметь интерпретировать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лабораторные анализы</w:t>
      </w:r>
      <w:r w:rsidRPr="00824B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;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Выделять основные клинические синдромы, оценивать тяжесть состояния.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 Проводить дифференциальную диагностику с другими заболеваниями, сопровождающимися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суставным синдромом</w:t>
      </w:r>
    </w:p>
    <w:p w:rsidR="00CC41B3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Назначить необходимое обследование по дополнительным тестам, включая рентгенологическое исследование, УЗИ. 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Интерпретировать полученные данные, начиная с анамнеза.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8. Обосновать клинический диагноз, формулировать согласно классификации.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9. Назначать адекватную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этиотропную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терапию и лечебное питание, патогенетическую,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посиндромную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терапию.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 Прогнозировать исход заболевания, отметить индивидуальность конкретного случая.</w:t>
      </w:r>
    </w:p>
    <w:p w:rsidR="00CC41B3" w:rsidRPr="00824B41" w:rsidRDefault="00CC41B3" w:rsidP="00CC41B3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11. Составить план диспансерного наблюдения, этапы лечения.</w:t>
      </w:r>
    </w:p>
    <w:p w:rsidR="00CC41B3" w:rsidRDefault="00CC41B3" w:rsidP="00CC41B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CC41B3" w:rsidRPr="00700C63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1B3" w:rsidRPr="00700C63" w:rsidRDefault="00CC41B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CC41B3" w:rsidRPr="00700C63" w:rsidRDefault="00CC41B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1B3" w:rsidRPr="00700C63" w:rsidRDefault="00CC41B3" w:rsidP="001A1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700C63" w:rsidRDefault="00CC41B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700C63" w:rsidRDefault="00CC41B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700C63" w:rsidRDefault="00CC41B3" w:rsidP="001A12D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CC41B3" w:rsidRPr="005F3375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41B3" w:rsidRPr="00700C63" w:rsidRDefault="00CC41B3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41B3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CC41B3" w:rsidRPr="00F27948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9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ПК-13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состояний</w:t>
            </w:r>
          </w:p>
          <w:p w:rsidR="00CC41B3" w:rsidRDefault="00CC41B3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C41B3" w:rsidRPr="00700C63" w:rsidRDefault="00CC41B3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CC41B3" w:rsidRPr="004F3E6B" w:rsidRDefault="00CC41B3" w:rsidP="001A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1B3" w:rsidRDefault="00CC41B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CC41B3" w:rsidRPr="00FE29DE" w:rsidRDefault="00CC41B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CC41B3" w:rsidRPr="00700C63" w:rsidRDefault="00CC41B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CC41B3" w:rsidRPr="00700C63" w:rsidRDefault="00CC41B3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CC41B3" w:rsidRPr="00700C63" w:rsidRDefault="00CC41B3" w:rsidP="001A12D0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 xml:space="preserve">при неотложных и </w:t>
            </w:r>
            <w:r w:rsidRPr="00700C63">
              <w:rPr>
                <w:sz w:val="22"/>
                <w:szCs w:val="22"/>
                <w:lang w:val="ky-KG"/>
              </w:rPr>
              <w:lastRenderedPageBreak/>
              <w:t>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 xml:space="preserve"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общеоздоровительные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мероприятия по формированию здорового образа жизни с учетом факторов риска, давать рекомен</w:t>
            </w:r>
            <w:r>
              <w:rPr>
                <w:rFonts w:ascii="Times New Roman" w:hAnsi="Times New Roman" w:cs="Times New Roman"/>
              </w:rPr>
              <w:t>дации по здоровому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</w:t>
            </w:r>
            <w:r>
              <w:rPr>
                <w:rFonts w:ascii="Times New Roman" w:hAnsi="Times New Roman" w:cs="Times New Roman"/>
              </w:rPr>
              <w:t xml:space="preserve"> встречающихся заболеваний (ПК-12</w:t>
            </w:r>
            <w:r w:rsidRPr="00353EA1">
              <w:rPr>
                <w:rFonts w:ascii="Times New Roman" w:hAnsi="Times New Roman" w:cs="Times New Roman"/>
              </w:rPr>
              <w:t>),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CC41B3" w:rsidRPr="00353EA1" w:rsidRDefault="00CC41B3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 xml:space="preserve">осуществления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общеоздоровительных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мероприятий по формированию здорового образа жизни с учетом факторов риска, давать рекомендации по здо</w:t>
            </w:r>
            <w:r>
              <w:rPr>
                <w:rFonts w:ascii="Times New Roman" w:hAnsi="Times New Roman" w:cs="Times New Roman"/>
              </w:rPr>
              <w:t>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CC41B3" w:rsidRPr="00DF645C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15).</w:t>
            </w: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CC41B3" w:rsidRPr="00700C63" w:rsidRDefault="00CC41B3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CC41B3" w:rsidRPr="00700C63" w:rsidRDefault="00CC41B3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CC41B3" w:rsidRPr="00700C63" w:rsidRDefault="00CC41B3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1B3" w:rsidRPr="002D0100" w:rsidRDefault="00CC41B3" w:rsidP="001A12D0">
            <w:pPr>
              <w:pStyle w:val="a5"/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</w:pPr>
            <w:proofErr w:type="spellStart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lastRenderedPageBreak/>
              <w:t>РОт</w:t>
            </w:r>
            <w:proofErr w:type="spellEnd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t>: умеет</w:t>
            </w:r>
          </w:p>
          <w:p w:rsidR="00CC41B3" w:rsidRPr="002D0100" w:rsidRDefault="00CC41B3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собрать анамнез заболеван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и жизни у больного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анкилозирующим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спондилоартритом</w:t>
            </w: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1B3" w:rsidRPr="002D0100" w:rsidRDefault="00CC41B3" w:rsidP="001A12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провести объективное исследование больного;</w:t>
            </w:r>
          </w:p>
          <w:p w:rsidR="00CC41B3" w:rsidRPr="002D0100" w:rsidRDefault="00CC41B3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оценить диагностическое значение лабораторных и инструментальных исследований;</w:t>
            </w:r>
          </w:p>
          <w:p w:rsidR="00CC41B3" w:rsidRPr="003C43DB" w:rsidRDefault="00CC41B3" w:rsidP="001A12D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D0100">
              <w:rPr>
                <w:rFonts w:ascii="Times New Roman" w:hAnsi="Times New Roman"/>
                <w:sz w:val="24"/>
                <w:szCs w:val="24"/>
              </w:rPr>
              <w:t>назначить</w:t>
            </w:r>
            <w:proofErr w:type="spellEnd"/>
            <w:proofErr w:type="gram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индивидуализированное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лечение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41B3" w:rsidRPr="00A93144" w:rsidRDefault="00CC41B3" w:rsidP="00CC41B3">
      <w:pPr>
        <w:rPr>
          <w:b/>
          <w:sz w:val="24"/>
          <w:szCs w:val="24"/>
        </w:rPr>
      </w:pPr>
      <w:r w:rsidRPr="00A93144">
        <w:rPr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CC41B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CC41B3" w:rsidRPr="0087318D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Показ рисунка и комментарий к нему.</w:t>
            </w:r>
            <w:r w:rsidRPr="0087318D">
              <w:rPr>
                <w:rFonts w:ascii="Times New Roman" w:hAnsi="Times New Roman" w:cs="Times New Roman"/>
              </w:rPr>
              <w:t xml:space="preserve"> </w:t>
            </w:r>
            <w:r w:rsidRPr="00A52995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Преподаватель объявляет тему, цели занятия, акцентирует внимание на важности, </w:t>
            </w:r>
            <w:r w:rsidRPr="00A52995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сложности изучения данной темы; объясняет 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Мозговой штурм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Рентген рисунок легких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ПК 12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 мин</w:t>
            </w:r>
          </w:p>
        </w:tc>
      </w:tr>
      <w:tr w:rsidR="00CC41B3" w:rsidRPr="0087318D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20мин</w:t>
            </w:r>
          </w:p>
        </w:tc>
      </w:tr>
      <w:tr w:rsidR="00CC41B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CC41B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контролирует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обобщает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ответы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студентов</w:t>
            </w:r>
            <w:proofErr w:type="spellEnd"/>
          </w:p>
          <w:p w:rsidR="00CC41B3" w:rsidRPr="0087318D" w:rsidRDefault="00CC41B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CC41B3" w:rsidRPr="0087318D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CC41B3" w:rsidRPr="0087318D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CC41B3" w:rsidRPr="0087318D" w:rsidRDefault="00CC41B3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CC41B3" w:rsidRPr="0087318D" w:rsidRDefault="00CC41B3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Формировать</w:t>
            </w:r>
          </w:p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наблюдения за деятельностью </w:t>
            </w: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процессе изучения темы).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 мин</w:t>
            </w:r>
          </w:p>
        </w:tc>
      </w:tr>
      <w:tr w:rsidR="00CC41B3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3" w:rsidRPr="0087318D" w:rsidRDefault="00CC41B3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</w:t>
            </w: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н</w:t>
            </w:r>
          </w:p>
        </w:tc>
      </w:tr>
    </w:tbl>
    <w:p w:rsidR="00CC41B3" w:rsidRDefault="00CC41B3" w:rsidP="00CC41B3">
      <w:pPr>
        <w:jc w:val="both"/>
        <w:rPr>
          <w:rFonts w:ascii="Times New Roman" w:hAnsi="Times New Roman" w:cs="Times New Roman"/>
          <w:b/>
        </w:rPr>
      </w:pPr>
    </w:p>
    <w:p w:rsidR="00CC41B3" w:rsidRPr="006042E6" w:rsidRDefault="00CC41B3" w:rsidP="00CC41B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CC41B3" w:rsidRPr="00791536" w:rsidRDefault="00CC41B3" w:rsidP="00CC41B3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CC41B3" w:rsidRPr="008D4A73" w:rsidRDefault="00CC41B3" w:rsidP="00CC41B3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CC41B3" w:rsidRPr="00A53655" w:rsidRDefault="00CC41B3" w:rsidP="00CC41B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CC41B3" w:rsidRDefault="00CC41B3" w:rsidP="00CC41B3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bCs/>
          <w:color w:val="000000"/>
          <w:sz w:val="27"/>
          <w:szCs w:val="27"/>
          <w:shd w:val="clear" w:color="auto" w:fill="FFFFFF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</w:p>
    <w:p w:rsidR="00CC41B3" w:rsidRPr="003D792C" w:rsidRDefault="00CC41B3" w:rsidP="00CC41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«Клиническая ревматология», под редакцией профессора В. И.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"http://zodorov.ru/rukovodstvo-dlya-vrachej--pod-red-v-i-mazurova-spb-speclit-200.html"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Санкт-Петербург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C41B3" w:rsidRPr="003D792C" w:rsidRDefault="00CC41B3" w:rsidP="00CC41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«Ревматические болезни», В. А.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Насонова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Н. В. Бунчук, Москва, 1997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C41B3" w:rsidRDefault="00CC41B3" w:rsidP="00CC4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4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Дополнительная:</w:t>
      </w:r>
    </w:p>
    <w:p w:rsidR="00CC41B3" w:rsidRPr="003D792C" w:rsidRDefault="00CC41B3" w:rsidP="00CC41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«Диагностика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C41B3" w:rsidRPr="003D792C" w:rsidRDefault="00CC41B3" w:rsidP="00CC41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«Лечение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C41B3" w:rsidRPr="003D792C" w:rsidRDefault="00CC41B3" w:rsidP="00CC41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«Лекарственные средства»,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четырнадцатое издание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М. Д.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"http://zodorov.ru/bobkov-yu-g-babayan-e-a-mashkovskij-m-d-obojmakova-a-n-bulaev.html"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Машковский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 Москва,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C41B3" w:rsidRPr="00867B68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CC41B3" w:rsidRPr="00867B68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CC41B3" w:rsidRPr="009D572F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CC41B3" w:rsidRPr="009D572F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CC41B3" w:rsidRPr="009D572F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C41B3" w:rsidRPr="009D572F" w:rsidRDefault="00CC41B3" w:rsidP="00CC41B3">
      <w:pPr>
        <w:spacing w:after="0" w:line="240" w:lineRule="auto"/>
        <w:ind w:left="720"/>
        <w:jc w:val="both"/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u</w:t>
        </w:r>
      </w:hyperlink>
    </w:p>
    <w:p w:rsidR="00CC41B3" w:rsidRPr="009D572F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C41B3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76FC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1. Раннее ограничение дыхательной экскурсии грудной клетки характерно </w:t>
      </w:r>
      <w:proofErr w:type="gramStart"/>
      <w:r w:rsidRPr="004D6361">
        <w:rPr>
          <w:b w:val="0"/>
          <w:sz w:val="24"/>
          <w:szCs w:val="24"/>
        </w:rPr>
        <w:t>для</w:t>
      </w:r>
      <w:proofErr w:type="gramEnd"/>
      <w:r w:rsidRPr="004D6361">
        <w:rPr>
          <w:b w:val="0"/>
          <w:sz w:val="24"/>
          <w:szCs w:val="24"/>
        </w:rPr>
        <w:t>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 xml:space="preserve">) Узелкового </w:t>
      </w:r>
      <w:proofErr w:type="gramStart"/>
      <w:r w:rsidRPr="004D6361">
        <w:rPr>
          <w:b w:val="0"/>
          <w:sz w:val="24"/>
          <w:szCs w:val="24"/>
        </w:rPr>
        <w:t>периартериита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B</w:t>
      </w:r>
      <w:proofErr w:type="gramEnd"/>
      <w:r w:rsidRPr="004D6361">
        <w:rPr>
          <w:b w:val="0"/>
          <w:sz w:val="24"/>
          <w:szCs w:val="24"/>
        </w:rPr>
        <w:t>) Остеохондроза грудного отдела позвоночника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C</w:t>
      </w:r>
      <w:r w:rsidRPr="004D6361">
        <w:rPr>
          <w:b w:val="0"/>
          <w:sz w:val="24"/>
          <w:szCs w:val="24"/>
        </w:rPr>
        <w:t xml:space="preserve">) Болезни Бехтерева </w:t>
      </w: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>) Системной склеродермии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E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Ревматоидного</w:t>
      </w:r>
      <w:proofErr w:type="spellEnd"/>
      <w:r w:rsidRPr="004D6361">
        <w:rPr>
          <w:b w:val="0"/>
          <w:sz w:val="24"/>
          <w:szCs w:val="24"/>
        </w:rPr>
        <w:t xml:space="preserve"> артрита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>2. Клиническими признаками болезни Бехтерева являются: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lastRenderedPageBreak/>
        <w:t>A</w:t>
      </w:r>
      <w:r w:rsidRPr="004D6361">
        <w:rPr>
          <w:b w:val="0"/>
          <w:sz w:val="24"/>
          <w:szCs w:val="24"/>
        </w:rPr>
        <w:t xml:space="preserve">) Боль в 1 </w:t>
      </w:r>
      <w:proofErr w:type="spellStart"/>
      <w:r w:rsidRPr="004D6361">
        <w:rPr>
          <w:b w:val="0"/>
          <w:sz w:val="24"/>
          <w:szCs w:val="24"/>
        </w:rPr>
        <w:t>плюсне-фаланговом</w:t>
      </w:r>
      <w:proofErr w:type="spellEnd"/>
      <w:r w:rsidRPr="004D6361">
        <w:rPr>
          <w:b w:val="0"/>
          <w:sz w:val="24"/>
          <w:szCs w:val="24"/>
        </w:rPr>
        <w:t xml:space="preserve"> </w:t>
      </w:r>
      <w:proofErr w:type="gramStart"/>
      <w:r w:rsidRPr="004D6361">
        <w:rPr>
          <w:b w:val="0"/>
          <w:sz w:val="24"/>
          <w:szCs w:val="24"/>
        </w:rPr>
        <w:t>суставе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B</w:t>
      </w:r>
      <w:proofErr w:type="gramEnd"/>
      <w:r w:rsidRPr="004D6361">
        <w:rPr>
          <w:b w:val="0"/>
          <w:sz w:val="24"/>
          <w:szCs w:val="24"/>
        </w:rPr>
        <w:t>) утренняя скованность в мелких суставах кистей и стоп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C</w:t>
      </w:r>
      <w:r w:rsidRPr="004D6361">
        <w:rPr>
          <w:b w:val="0"/>
          <w:sz w:val="24"/>
          <w:szCs w:val="24"/>
        </w:rPr>
        <w:t>) «стартовые боли» в коленных и тазобедренных суставах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) нарушение подвижности позвоночника, боль в крестце 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E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ульнарная</w:t>
      </w:r>
      <w:proofErr w:type="spellEnd"/>
      <w:r w:rsidRPr="004D6361">
        <w:rPr>
          <w:b w:val="0"/>
          <w:sz w:val="24"/>
          <w:szCs w:val="24"/>
        </w:rPr>
        <w:t xml:space="preserve"> девиация кисти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>3. Рентгенологическими признаками болезни Бехтерева являются: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 xml:space="preserve">) </w:t>
      </w:r>
      <w:proofErr w:type="gramStart"/>
      <w:r w:rsidRPr="004D6361">
        <w:rPr>
          <w:b w:val="0"/>
          <w:sz w:val="24"/>
          <w:szCs w:val="24"/>
        </w:rPr>
        <w:t>остеофиты</w:t>
      </w:r>
      <w:proofErr w:type="gramEnd"/>
      <w:r w:rsidRPr="004D6361">
        <w:rPr>
          <w:b w:val="0"/>
          <w:sz w:val="24"/>
          <w:szCs w:val="24"/>
        </w:rPr>
        <w:t xml:space="preserve"> пяточных костей и  костей таза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B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двустороннийсакроилеит</w:t>
      </w:r>
      <w:proofErr w:type="spellEnd"/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C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оссификация</w:t>
      </w:r>
      <w:proofErr w:type="spellEnd"/>
      <w:r w:rsidRPr="004D6361">
        <w:rPr>
          <w:b w:val="0"/>
          <w:sz w:val="24"/>
          <w:szCs w:val="24"/>
        </w:rPr>
        <w:t xml:space="preserve"> связок позвоночника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4D6361">
        <w:rPr>
          <w:b w:val="0"/>
          <w:sz w:val="24"/>
          <w:szCs w:val="24"/>
        </w:rPr>
        <w:t>одностороннийсакроилеит</w:t>
      </w:r>
      <w:proofErr w:type="spellEnd"/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E</w:t>
      </w:r>
      <w:proofErr w:type="gramEnd"/>
      <w:r w:rsidRPr="004D6361">
        <w:rPr>
          <w:b w:val="0"/>
          <w:sz w:val="24"/>
          <w:szCs w:val="24"/>
        </w:rPr>
        <w:t>) округлые дефекты костей черепа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bCs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4. </w:t>
      </w:r>
      <w:r w:rsidRPr="004D6361">
        <w:rPr>
          <w:b w:val="0"/>
          <w:bCs/>
          <w:sz w:val="24"/>
          <w:szCs w:val="24"/>
        </w:rPr>
        <w:t xml:space="preserve">Выявление болезненности в области крестцово-подвздошных суставов у больного с длительно </w:t>
      </w:r>
      <w:proofErr w:type="gramStart"/>
      <w:r w:rsidRPr="004D6361">
        <w:rPr>
          <w:b w:val="0"/>
          <w:bCs/>
          <w:sz w:val="24"/>
          <w:szCs w:val="24"/>
        </w:rPr>
        <w:t>текущим</w:t>
      </w:r>
      <w:proofErr w:type="gramEnd"/>
      <w:r w:rsidRPr="004D6361">
        <w:rPr>
          <w:b w:val="0"/>
          <w:bCs/>
          <w:sz w:val="24"/>
          <w:szCs w:val="24"/>
        </w:rPr>
        <w:t xml:space="preserve"> рецидивирующим </w:t>
      </w:r>
      <w:proofErr w:type="spellStart"/>
      <w:r w:rsidRPr="004D6361">
        <w:rPr>
          <w:b w:val="0"/>
          <w:bCs/>
          <w:sz w:val="24"/>
          <w:szCs w:val="24"/>
        </w:rPr>
        <w:t>моноартритом</w:t>
      </w:r>
      <w:proofErr w:type="spellEnd"/>
      <w:r w:rsidRPr="004D6361">
        <w:rPr>
          <w:b w:val="0"/>
          <w:bCs/>
          <w:sz w:val="24"/>
          <w:szCs w:val="24"/>
        </w:rPr>
        <w:t xml:space="preserve"> крупного сустава осевого скелета свидетельствует о: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 xml:space="preserve">) Болезни </w:t>
      </w:r>
      <w:proofErr w:type="gramStart"/>
      <w:r w:rsidRPr="004D6361">
        <w:rPr>
          <w:b w:val="0"/>
          <w:sz w:val="24"/>
          <w:szCs w:val="24"/>
        </w:rPr>
        <w:t>Бехтерева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B</w:t>
      </w:r>
      <w:proofErr w:type="gramEnd"/>
      <w:r w:rsidRPr="004D6361">
        <w:rPr>
          <w:b w:val="0"/>
          <w:sz w:val="24"/>
          <w:szCs w:val="24"/>
        </w:rPr>
        <w:t>) Поя</w:t>
      </w:r>
      <w:r>
        <w:rPr>
          <w:b w:val="0"/>
          <w:sz w:val="24"/>
          <w:szCs w:val="24"/>
        </w:rPr>
        <w:t xml:space="preserve">снично-крестцовом остеохондрозе  </w:t>
      </w:r>
      <w:r w:rsidRPr="004D6361"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Ревматоидном</w:t>
      </w:r>
      <w:proofErr w:type="spellEnd"/>
      <w:r>
        <w:rPr>
          <w:b w:val="0"/>
          <w:sz w:val="24"/>
          <w:szCs w:val="24"/>
        </w:rPr>
        <w:t xml:space="preserve"> артрите  </w:t>
      </w: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) Болезни Лайма 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E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Псориатическом</w:t>
      </w:r>
      <w:proofErr w:type="spellEnd"/>
      <w:r w:rsidRPr="004D6361">
        <w:rPr>
          <w:b w:val="0"/>
          <w:sz w:val="24"/>
          <w:szCs w:val="24"/>
        </w:rPr>
        <w:t xml:space="preserve"> артрите 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>5. При каком поражении суставов более всего поражаются хрящ, фиброзная ткань сухожилий, межпозвоночных дисков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>) Системная красная волчанка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B</w:t>
      </w:r>
      <w:r w:rsidRPr="004D6361">
        <w:rPr>
          <w:b w:val="0"/>
          <w:sz w:val="24"/>
          <w:szCs w:val="24"/>
        </w:rPr>
        <w:t xml:space="preserve">) </w:t>
      </w:r>
      <w:proofErr w:type="gramStart"/>
      <w:r w:rsidRPr="004D6361">
        <w:rPr>
          <w:b w:val="0"/>
          <w:sz w:val="24"/>
          <w:szCs w:val="24"/>
        </w:rPr>
        <w:t>Дерматомиозит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C</w:t>
      </w:r>
      <w:proofErr w:type="gramEnd"/>
      <w:r w:rsidRPr="004D6361">
        <w:rPr>
          <w:b w:val="0"/>
          <w:sz w:val="24"/>
          <w:szCs w:val="24"/>
        </w:rPr>
        <w:t>) Системная склеродермия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Ревматоидный</w:t>
      </w:r>
      <w:proofErr w:type="spellEnd"/>
      <w:r w:rsidRPr="004D6361">
        <w:rPr>
          <w:b w:val="0"/>
          <w:sz w:val="24"/>
          <w:szCs w:val="24"/>
        </w:rPr>
        <w:t xml:space="preserve"> артрит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E</w:t>
      </w:r>
      <w:r w:rsidRPr="004D6361">
        <w:rPr>
          <w:b w:val="0"/>
          <w:sz w:val="24"/>
          <w:szCs w:val="24"/>
        </w:rPr>
        <w:t xml:space="preserve">) </w:t>
      </w:r>
      <w:proofErr w:type="spellStart"/>
      <w:r w:rsidRPr="004D6361">
        <w:rPr>
          <w:b w:val="0"/>
          <w:sz w:val="24"/>
          <w:szCs w:val="24"/>
        </w:rPr>
        <w:t>Анкилозирующем</w:t>
      </w:r>
      <w:proofErr w:type="spellEnd"/>
      <w:r w:rsidRPr="004D6361">
        <w:rPr>
          <w:b w:val="0"/>
          <w:sz w:val="24"/>
          <w:szCs w:val="24"/>
        </w:rPr>
        <w:t xml:space="preserve"> спондилоартрите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bCs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6. </w:t>
      </w:r>
      <w:r w:rsidRPr="004D6361">
        <w:rPr>
          <w:b w:val="0"/>
          <w:bCs/>
          <w:sz w:val="24"/>
          <w:szCs w:val="24"/>
        </w:rPr>
        <w:t>В лабораторной диагностике болезни Бехтерева при клиническом предположении решающим подтверждением диагноза будет: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>) Длительное повышение СОЭ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B</w:t>
      </w:r>
      <w:r w:rsidRPr="004D6361">
        <w:rPr>
          <w:b w:val="0"/>
          <w:sz w:val="24"/>
          <w:szCs w:val="24"/>
        </w:rPr>
        <w:t>) Гипохромная анемия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C</w:t>
      </w:r>
      <w:r w:rsidRPr="004D6361">
        <w:rPr>
          <w:b w:val="0"/>
          <w:sz w:val="24"/>
          <w:szCs w:val="24"/>
        </w:rPr>
        <w:t>) Повышение СРБ и фракций глобулинов в сыворотке крови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) Выявление НLА 27 </w:t>
      </w:r>
      <w:proofErr w:type="gramStart"/>
      <w:r w:rsidRPr="004D6361">
        <w:rPr>
          <w:b w:val="0"/>
          <w:sz w:val="24"/>
          <w:szCs w:val="24"/>
        </w:rPr>
        <w:t>антигенов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E</w:t>
      </w:r>
      <w:proofErr w:type="gramEnd"/>
      <w:r w:rsidRPr="004D6361">
        <w:rPr>
          <w:b w:val="0"/>
          <w:sz w:val="24"/>
          <w:szCs w:val="24"/>
        </w:rPr>
        <w:t xml:space="preserve">) Повышение активности </w:t>
      </w:r>
      <w:proofErr w:type="spellStart"/>
      <w:r w:rsidRPr="004D6361">
        <w:rPr>
          <w:b w:val="0"/>
          <w:sz w:val="24"/>
          <w:szCs w:val="24"/>
        </w:rPr>
        <w:t>лизосомальных</w:t>
      </w:r>
      <w:proofErr w:type="spellEnd"/>
      <w:r w:rsidRPr="004D6361">
        <w:rPr>
          <w:b w:val="0"/>
          <w:sz w:val="24"/>
          <w:szCs w:val="24"/>
        </w:rPr>
        <w:t xml:space="preserve"> ферментов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7. Для какого заболевания </w:t>
      </w:r>
      <w:proofErr w:type="gramStart"/>
      <w:r w:rsidRPr="004D6361">
        <w:rPr>
          <w:b w:val="0"/>
          <w:sz w:val="24"/>
          <w:szCs w:val="24"/>
        </w:rPr>
        <w:t>характерен</w:t>
      </w:r>
      <w:proofErr w:type="gramEnd"/>
      <w:r w:rsidRPr="004D6361">
        <w:rPr>
          <w:b w:val="0"/>
          <w:sz w:val="24"/>
          <w:szCs w:val="24"/>
        </w:rPr>
        <w:t xml:space="preserve"> ранний </w:t>
      </w:r>
      <w:proofErr w:type="spellStart"/>
      <w:r w:rsidRPr="004D6361">
        <w:rPr>
          <w:b w:val="0"/>
          <w:sz w:val="24"/>
          <w:szCs w:val="24"/>
        </w:rPr>
        <w:t>сакроилеит</w:t>
      </w:r>
      <w:proofErr w:type="spellEnd"/>
      <w:r w:rsidRPr="004D6361">
        <w:rPr>
          <w:b w:val="0"/>
          <w:sz w:val="24"/>
          <w:szCs w:val="24"/>
        </w:rPr>
        <w:t>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А. </w:t>
      </w:r>
      <w:proofErr w:type="spellStart"/>
      <w:r w:rsidRPr="004D6361">
        <w:rPr>
          <w:b w:val="0"/>
          <w:sz w:val="24"/>
          <w:szCs w:val="24"/>
        </w:rPr>
        <w:t>ревматоидного</w:t>
      </w:r>
      <w:proofErr w:type="spellEnd"/>
      <w:r w:rsidRPr="004D6361">
        <w:rPr>
          <w:b w:val="0"/>
          <w:sz w:val="24"/>
          <w:szCs w:val="24"/>
        </w:rPr>
        <w:t xml:space="preserve"> артрита;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</w:rPr>
        <w:t>В. болезни Бехтерева;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</w:rPr>
        <w:t>С. подагры;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>. бруцеллеза;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</w:rPr>
        <w:t>Е. ревматизма.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8. У больного Н. 20 лет, полгода назад появилась припухлость и боли в коленных и голеностопных суставах, лечился с улучшением. Месяц назад появились боли в грудной клетке, поясничном отделе позвоночника, левом тазобедренном суставе. Объективно: болезненность по ходу позвоночника. Сгибание в левом  тазобедренном суставе и позвоночнике затруднено из – </w:t>
      </w:r>
      <w:proofErr w:type="gramStart"/>
      <w:r w:rsidRPr="004D6361">
        <w:rPr>
          <w:b w:val="0"/>
          <w:sz w:val="24"/>
          <w:szCs w:val="24"/>
        </w:rPr>
        <w:t>за</w:t>
      </w:r>
      <w:proofErr w:type="gramEnd"/>
      <w:r w:rsidRPr="004D6361">
        <w:rPr>
          <w:b w:val="0"/>
          <w:sz w:val="24"/>
          <w:szCs w:val="24"/>
        </w:rPr>
        <w:t xml:space="preserve">  болей. Деформация в области левого </w:t>
      </w:r>
      <w:proofErr w:type="spellStart"/>
      <w:r w:rsidRPr="004D6361">
        <w:rPr>
          <w:b w:val="0"/>
          <w:sz w:val="24"/>
          <w:szCs w:val="24"/>
        </w:rPr>
        <w:t>грудинно-ключичного</w:t>
      </w:r>
      <w:proofErr w:type="spellEnd"/>
      <w:r w:rsidRPr="004D6361">
        <w:rPr>
          <w:b w:val="0"/>
          <w:sz w:val="24"/>
          <w:szCs w:val="24"/>
        </w:rPr>
        <w:t xml:space="preserve"> сочленения. Ваш  диагноз?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kk-KZ"/>
        </w:rPr>
        <w:t xml:space="preserve">А. острая </w:t>
      </w:r>
      <w:r w:rsidRPr="004D6361">
        <w:rPr>
          <w:b w:val="0"/>
          <w:sz w:val="24"/>
          <w:szCs w:val="24"/>
        </w:rPr>
        <w:t>ревматическая лихорадка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</w:rPr>
        <w:t xml:space="preserve">В. </w:t>
      </w:r>
      <w:proofErr w:type="spellStart"/>
      <w:r w:rsidRPr="004D6361">
        <w:rPr>
          <w:b w:val="0"/>
          <w:sz w:val="24"/>
          <w:szCs w:val="24"/>
        </w:rPr>
        <w:t>ревматоидный</w:t>
      </w:r>
      <w:proofErr w:type="spellEnd"/>
      <w:r w:rsidRPr="004D6361">
        <w:rPr>
          <w:b w:val="0"/>
          <w:sz w:val="24"/>
          <w:szCs w:val="24"/>
        </w:rPr>
        <w:t xml:space="preserve"> артрит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</w:rPr>
        <w:t>С. болезнь Рейтера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. </w:t>
      </w:r>
      <w:proofErr w:type="spellStart"/>
      <w:r w:rsidRPr="004D6361">
        <w:rPr>
          <w:b w:val="0"/>
          <w:sz w:val="24"/>
          <w:szCs w:val="24"/>
        </w:rPr>
        <w:t>анкилозирующий</w:t>
      </w:r>
      <w:proofErr w:type="spellEnd"/>
      <w:r w:rsidRPr="004D6361">
        <w:rPr>
          <w:b w:val="0"/>
          <w:sz w:val="24"/>
          <w:szCs w:val="24"/>
        </w:rPr>
        <w:t xml:space="preserve"> </w:t>
      </w:r>
      <w:proofErr w:type="gramStart"/>
      <w:r w:rsidRPr="004D6361">
        <w:rPr>
          <w:b w:val="0"/>
          <w:sz w:val="24"/>
          <w:szCs w:val="24"/>
        </w:rPr>
        <w:t>спондилоартрит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</w:rPr>
        <w:t>Е</w:t>
      </w:r>
      <w:proofErr w:type="gramEnd"/>
      <w:r w:rsidRPr="004D6361">
        <w:rPr>
          <w:b w:val="0"/>
          <w:sz w:val="24"/>
          <w:szCs w:val="24"/>
        </w:rPr>
        <w:t>. остеохондроз, корешковый синдром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</w:rPr>
        <w:t xml:space="preserve">9. Для </w:t>
      </w:r>
      <w:proofErr w:type="spellStart"/>
      <w:r w:rsidRPr="004D6361">
        <w:rPr>
          <w:b w:val="0"/>
          <w:sz w:val="24"/>
          <w:szCs w:val="24"/>
        </w:rPr>
        <w:t>анкилозирующего</w:t>
      </w:r>
      <w:proofErr w:type="spellEnd"/>
      <w:r w:rsidRPr="004D6361">
        <w:rPr>
          <w:b w:val="0"/>
          <w:sz w:val="24"/>
          <w:szCs w:val="24"/>
        </w:rPr>
        <w:t xml:space="preserve"> спондилоартрита характерно все, </w:t>
      </w:r>
      <w:proofErr w:type="gramStart"/>
      <w:r w:rsidRPr="004D6361">
        <w:rPr>
          <w:b w:val="0"/>
          <w:sz w:val="24"/>
          <w:szCs w:val="24"/>
        </w:rPr>
        <w:t>кроме</w:t>
      </w:r>
      <w:proofErr w:type="gramEnd"/>
      <w:r w:rsidRPr="004D6361">
        <w:rPr>
          <w:b w:val="0"/>
          <w:sz w:val="24"/>
          <w:szCs w:val="24"/>
        </w:rPr>
        <w:t>: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A</w:t>
      </w:r>
      <w:r w:rsidRPr="004D6361">
        <w:rPr>
          <w:b w:val="0"/>
          <w:sz w:val="24"/>
          <w:szCs w:val="24"/>
        </w:rPr>
        <w:t xml:space="preserve">. чаще заболевают мужчины молодого </w:t>
      </w:r>
      <w:proofErr w:type="gramStart"/>
      <w:r w:rsidRPr="004D6361">
        <w:rPr>
          <w:b w:val="0"/>
          <w:sz w:val="24"/>
          <w:szCs w:val="24"/>
        </w:rPr>
        <w:t xml:space="preserve">возраста </w:t>
      </w:r>
      <w:r>
        <w:rPr>
          <w:b w:val="0"/>
          <w:sz w:val="24"/>
          <w:szCs w:val="24"/>
        </w:rPr>
        <w:t xml:space="preserve"> </w:t>
      </w:r>
      <w:r w:rsidRPr="004D6361">
        <w:rPr>
          <w:b w:val="0"/>
          <w:sz w:val="24"/>
          <w:szCs w:val="24"/>
          <w:lang w:val="en-US"/>
        </w:rPr>
        <w:t>B</w:t>
      </w:r>
      <w:proofErr w:type="gramEnd"/>
      <w:r w:rsidRPr="004D6361">
        <w:rPr>
          <w:b w:val="0"/>
          <w:sz w:val="24"/>
          <w:szCs w:val="24"/>
        </w:rPr>
        <w:t xml:space="preserve">. часто поражается крестцово-подвздошное сочленение 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C</w:t>
      </w:r>
      <w:r w:rsidRPr="004D6361">
        <w:rPr>
          <w:b w:val="0"/>
          <w:sz w:val="24"/>
          <w:szCs w:val="24"/>
        </w:rPr>
        <w:t xml:space="preserve">. имеются остеофиты </w:t>
      </w:r>
    </w:p>
    <w:p w:rsidR="00CC41B3" w:rsidRPr="004D6361" w:rsidRDefault="00CC41B3" w:rsidP="00CC41B3">
      <w:pPr>
        <w:pStyle w:val="a9"/>
        <w:jc w:val="left"/>
        <w:rPr>
          <w:b w:val="0"/>
          <w:sz w:val="24"/>
          <w:szCs w:val="24"/>
        </w:rPr>
      </w:pPr>
      <w:r w:rsidRPr="004D6361">
        <w:rPr>
          <w:b w:val="0"/>
          <w:sz w:val="24"/>
          <w:szCs w:val="24"/>
          <w:lang w:val="en-US"/>
        </w:rPr>
        <w:t>D</w:t>
      </w:r>
      <w:r w:rsidRPr="004D6361">
        <w:rPr>
          <w:b w:val="0"/>
          <w:sz w:val="24"/>
          <w:szCs w:val="24"/>
        </w:rPr>
        <w:t xml:space="preserve">. боли преимущественно в покое </w:t>
      </w:r>
      <w:r>
        <w:rPr>
          <w:b w:val="0"/>
          <w:sz w:val="24"/>
          <w:szCs w:val="24"/>
        </w:rPr>
        <w:t xml:space="preserve">  </w:t>
      </w:r>
      <w:r w:rsidRPr="004D6361">
        <w:rPr>
          <w:b w:val="0"/>
          <w:sz w:val="24"/>
          <w:szCs w:val="24"/>
          <w:lang w:val="en-US"/>
        </w:rPr>
        <w:t>E</w:t>
      </w:r>
      <w:r w:rsidRPr="004D6361">
        <w:rPr>
          <w:b w:val="0"/>
          <w:sz w:val="24"/>
          <w:szCs w:val="24"/>
        </w:rPr>
        <w:t xml:space="preserve">. хороший эффект </w:t>
      </w:r>
      <w:proofErr w:type="spellStart"/>
      <w:r w:rsidRPr="004D6361">
        <w:rPr>
          <w:b w:val="0"/>
          <w:sz w:val="24"/>
          <w:szCs w:val="24"/>
        </w:rPr>
        <w:t>индометацина</w:t>
      </w:r>
      <w:proofErr w:type="spellEnd"/>
    </w:p>
    <w:p w:rsidR="00CC41B3" w:rsidRPr="00276FCE" w:rsidRDefault="00CC41B3" w:rsidP="00CC41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1723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3"/>
      </w:tblGrid>
      <w:tr w:rsidR="00CC41B3" w:rsidRPr="00276FCE" w:rsidTr="001A12D0">
        <w:tc>
          <w:tcPr>
            <w:tcW w:w="17233" w:type="dxa"/>
            <w:vAlign w:val="center"/>
            <w:hideMark/>
          </w:tcPr>
          <w:p w:rsidR="00CC41B3" w:rsidRPr="0078313A" w:rsidRDefault="00CC41B3" w:rsidP="001A12D0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41B3" w:rsidRDefault="00CC41B3" w:rsidP="00CC4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D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Ситуацион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>ные задачи</w:t>
      </w:r>
    </w:p>
    <w:p w:rsidR="00CC41B3" w:rsidRPr="004D6361" w:rsidRDefault="00CC41B3" w:rsidP="00CC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СИТУАЦИОННАЯ ЗАДАЧА № 1.</w:t>
      </w:r>
    </w:p>
    <w:p w:rsidR="00CC41B3" w:rsidRPr="004D6361" w:rsidRDefault="00CC41B3" w:rsidP="00CC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B3" w:rsidRPr="004D6361" w:rsidRDefault="00CC41B3" w:rsidP="00CC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Мужчина, 26 лет, обратился в клинику по поводу болей в нижней части спины, ягодицах и позвоночнике, длящихся около 1 года. Он жалуется на утреннюю скованность с течение 2 часов, которая уменьшается после различных движений и упражнений. Шесть месяцев назад перенес эпизод внезапно возникшей боли в правом глазу, который был расценен как ирит и купирован глазными каплями, содержащими стероиды. Отец пациента имел похожие боли в спине. При осмотре суставы не опухшие. Пробы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Томайера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Шобера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Форестье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положительные.</w:t>
      </w:r>
    </w:p>
    <w:p w:rsidR="00CC41B3" w:rsidRPr="004D6361" w:rsidRDefault="00CC41B3" w:rsidP="00CC41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ВОПРОСЫ:</w:t>
      </w:r>
    </w:p>
    <w:p w:rsidR="00CC41B3" w:rsidRPr="004D6361" w:rsidRDefault="00CC41B3" w:rsidP="00CC41B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диагноз.</w:t>
      </w:r>
    </w:p>
    <w:p w:rsidR="00CC41B3" w:rsidRPr="004D6361" w:rsidRDefault="00CC41B3" w:rsidP="00CC41B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диагностические критерии заболевания.</w:t>
      </w:r>
    </w:p>
    <w:p w:rsidR="00CC41B3" w:rsidRPr="004D6361" w:rsidRDefault="00CC41B3" w:rsidP="00CC41B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стандарты обследования пациентов с данной патологией.</w:t>
      </w:r>
    </w:p>
    <w:p w:rsidR="00CC41B3" w:rsidRPr="00CC41B3" w:rsidRDefault="00CC41B3" w:rsidP="00CC41B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стандарты лечения пациентов с данной патологией.  Выпишите рецепты.</w:t>
      </w:r>
    </w:p>
    <w:p w:rsidR="00CC41B3" w:rsidRPr="004D6361" w:rsidRDefault="00CC41B3" w:rsidP="00CC41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Ответ задача № 1</w:t>
      </w:r>
    </w:p>
    <w:p w:rsidR="00CC41B3" w:rsidRPr="004D6361" w:rsidRDefault="00CC41B3" w:rsidP="00CC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спондилоартрит с системными проявлениями (ирит), центральная форма.</w:t>
      </w:r>
    </w:p>
    <w:p w:rsidR="00CC41B3" w:rsidRPr="004D6361" w:rsidRDefault="00CC41B3" w:rsidP="00CC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 и скованность в поясничном отделе  позвоночника, длительностью не менее 3-х месяцев, не уменьшается в покое; боль и скованность в грудном отделе позвоночника; ограничение подвижности поясничного отдела позвоночника;  ограничение дыхательной экскурсии грудной клетки; рентгенологические признаки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сакроилеита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симметричного </w:t>
      </w:r>
      <w:r w:rsidRPr="004D6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или одностороннего </w:t>
      </w:r>
      <w:r w:rsidRPr="004D6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6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CC41B3" w:rsidRPr="004D6361" w:rsidRDefault="00CC41B3" w:rsidP="00CC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D6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графия</w:t>
      </w:r>
      <w:proofErr w:type="gram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крестцово-позвоночных сочленений, позвоночника, общий анализ крови, мочи,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ревмопробы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общий белок и белковые фракции, кровь на Н</w:t>
      </w:r>
      <w:r w:rsidRPr="004D6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– 27. </w:t>
      </w:r>
    </w:p>
    <w:p w:rsidR="00CC41B3" w:rsidRPr="004D6361" w:rsidRDefault="00CC41B3" w:rsidP="00CC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CC41B3" w:rsidRPr="004D6361" w:rsidRDefault="00CC41B3" w:rsidP="00CC41B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Нестероидные противовоспалительные препараты </w:t>
      </w:r>
      <w:proofErr w:type="gram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индометацин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т. 25мг, № 30, (по1т 3 раза в день); капсулы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мг, №10,  1 раз в день; 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найз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т.100мг № 20,  (по 1т 2 раза в день) или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т.7,5 мг № 20,  по 1т 3 раза в день);  </w:t>
      </w:r>
    </w:p>
    <w:p w:rsidR="00CC41B3" w:rsidRPr="004D6361" w:rsidRDefault="00CC41B3" w:rsidP="00CC41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сульфосалазин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т.0,5 г, № 80 (по схеме; 1т в день – 1-я неделя, 2т в день – 2-я неделя,3т в день – 3-я неделя, 4т в день – 4-я неделя и далее),</w:t>
      </w:r>
    </w:p>
    <w:p w:rsidR="00CC41B3" w:rsidRPr="004D6361" w:rsidRDefault="00CC41B3" w:rsidP="00CC41B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ЛФК, массаж,       </w:t>
      </w:r>
      <w:proofErr w:type="spellStart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4D636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санаторно-курортное лечение.</w:t>
      </w:r>
    </w:p>
    <w:p w:rsidR="00CC41B3" w:rsidRDefault="00CC41B3" w:rsidP="00CC4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2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6"/>
      </w:tblGrid>
      <w:tr w:rsidR="00CC41B3" w:rsidRPr="00CF5BD2" w:rsidTr="001A1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1B3" w:rsidRPr="008E5B77" w:rsidRDefault="00CC41B3" w:rsidP="001A12D0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</w:p>
        </w:tc>
      </w:tr>
    </w:tbl>
    <w:p w:rsidR="00CC41B3" w:rsidRDefault="00CC41B3" w:rsidP="00CC41B3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темы.</w:t>
      </w:r>
    </w:p>
    <w:p w:rsidR="00CC41B3" w:rsidRPr="004D6361" w:rsidRDefault="00CC41B3" w:rsidP="00CC41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635"/>
      <w:proofErr w:type="spellStart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Идиопатический</w:t>
      </w:r>
      <w:proofErr w:type="spellEnd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</w:t>
      </w:r>
      <w:proofErr w:type="spellStart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анкилозирующий</w:t>
      </w:r>
      <w:proofErr w:type="spellEnd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спондилит (болезнь Бехтерева) </w:t>
      </w:r>
      <w:bookmarkEnd w:id="0"/>
    </w:p>
    <w:p w:rsidR="00CC41B3" w:rsidRPr="004D6361" w:rsidRDefault="00CC41B3" w:rsidP="00CC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поражает мужчин на 3-м и 4-м десятилетии жизни. Заболевание протекает у мужчин тяжелее, чем у женщин, прогрессирует значительно быстрее, но у женщин больше выражен анкилоз позвоночника.</w:t>
      </w:r>
    </w:p>
    <w:p w:rsidR="00CC41B3" w:rsidRPr="004D6361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636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lastRenderedPageBreak/>
        <w:t>Этиология</w:t>
      </w:r>
      <w:bookmarkEnd w:id="1"/>
    </w:p>
    <w:p w:rsidR="00CC41B3" w:rsidRPr="004D6361" w:rsidRDefault="00CC41B3" w:rsidP="00CC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причиной являются иммунные нарушения. </w:t>
      </w:r>
      <w:proofErr w:type="gram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</w:t>
      </w:r>
      <w:proofErr w:type="gram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генетическая детерминированность.</w:t>
      </w:r>
    </w:p>
    <w:p w:rsidR="00CC41B3" w:rsidRPr="004D6361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637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Патогенез и патологическая анатомия</w:t>
      </w:r>
      <w:bookmarkEnd w:id="2"/>
    </w:p>
    <w:p w:rsidR="00CC41B3" w:rsidRPr="004D6361" w:rsidRDefault="00CC41B3" w:rsidP="00CC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Поражаются</w:t>
      </w:r>
      <w:proofErr w:type="gram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хрящ и фиброзная ткань сухожилий и межпозвонковых дисков. В надкостнице и кости, </w:t>
      </w:r>
      <w:proofErr w:type="gram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</w:t>
      </w:r>
      <w:proofErr w:type="gram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хрящу, отмечаются явления воспаления. Вначале в соединительной ткани появляются клеточные инфильтраты из макрофагов и лимфоцитов, затем на этом месте развивается фиброзная рубцовая ткань, откладывается кальций.</w:t>
      </w:r>
    </w:p>
    <w:p w:rsidR="00CC41B3" w:rsidRPr="004D6361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638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Клиническая картина </w:t>
      </w:r>
      <w:bookmarkEnd w:id="3"/>
    </w:p>
    <w:p w:rsidR="00CC41B3" w:rsidRPr="004D6361" w:rsidRDefault="00CC41B3" w:rsidP="00CC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Внезапно появляются боли в спине, особенно в пояснице, которые длятся более трех месяцев. По утрам больные ощущают скованность; но после физической активности боли и скованность исчезают. Постепенно нарушается гибкость позвоночника, спина становится плоской. Вслед за поясничным отделом в процесс вовлекается грудной, реже шейный отдел позвоночника. При далеко зашедших случаях больной принимает позу «просителя», затем «вопросительного знака». Могут поражаться крупные суставы, но артриты выражены </w:t>
      </w:r>
      <w:proofErr w:type="spell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бывают обратимыми. Важнейшим симптомом является воспаление крестцово-подвздошных суставов — </w:t>
      </w:r>
      <w:proofErr w:type="spell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сакроилеит</w:t>
      </w:r>
      <w:proofErr w:type="spell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Характерна недостаточность аортальных клапанов. Как осложнение возможны переломы позвоночника и повреждения спинного мозга.</w:t>
      </w:r>
    </w:p>
    <w:p w:rsidR="00CC41B3" w:rsidRPr="00CC41B3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639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Течение </w:t>
      </w:r>
      <w:bookmarkEnd w:id="4"/>
      <w:proofErr w:type="spellStart"/>
      <w:proofErr w:type="gram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spellEnd"/>
      <w:proofErr w:type="gram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хроническое, медленно прогрессирующее.</w:t>
      </w:r>
    </w:p>
    <w:p w:rsidR="00CC41B3" w:rsidRPr="00CC41B3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640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Диагноз </w:t>
      </w:r>
      <w:bookmarkEnd w:id="5"/>
      <w:proofErr w:type="spellStart"/>
      <w:proofErr w:type="gram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</w:t>
      </w:r>
      <w:proofErr w:type="spellEnd"/>
      <w:proofErr w:type="gram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затруднен, лабораторные тесты не разработаны. Помогают рентгенологические исследования, при которых выявляется </w:t>
      </w:r>
      <w:proofErr w:type="spell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двустороннийсакроилеит</w:t>
      </w:r>
      <w:proofErr w:type="spell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1B3" w:rsidRPr="00CC41B3" w:rsidRDefault="00CC41B3" w:rsidP="00CC41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641"/>
      <w:r w:rsidRPr="004D636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Дифференциальный диагноз </w:t>
      </w:r>
      <w:bookmarkEnd w:id="6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Дифференциальный диагноз следует проводить с болями в спине иной этиологии (дегенеративной и механической природы). Надо исключать синдром Рейтера, </w:t>
      </w:r>
      <w:proofErr w:type="spellStart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гиперостозФорестье</w:t>
      </w:r>
      <w:proofErr w:type="spellEnd"/>
      <w:r w:rsidRPr="004D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1B3" w:rsidRPr="007874DB" w:rsidRDefault="00CC41B3" w:rsidP="00CC41B3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bookmarkStart w:id="7" w:name="_Toc642"/>
      <w:r w:rsidRPr="007874DB">
        <w:rPr>
          <w:rFonts w:ascii="Times New Roman" w:hAnsi="Times New Roman"/>
          <w:sz w:val="24"/>
          <w:szCs w:val="24"/>
          <w:lang w:val="ru-RU" w:eastAsia="ru-RU"/>
        </w:rPr>
        <w:t>Лечение</w:t>
      </w:r>
      <w:bookmarkEnd w:id="7"/>
    </w:p>
    <w:p w:rsidR="00CC41B3" w:rsidRPr="007874DB" w:rsidRDefault="00CC41B3" w:rsidP="00CC41B3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Специфического лечения не существует. Для уменьшения болей и улучшения подвижности вводят нестероидные противовоспалительные препараты, особенно </w:t>
      </w:r>
      <w:proofErr w:type="spellStart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>индометацин</w:t>
      </w:r>
      <w:proofErr w:type="spellEnd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>бутадион</w:t>
      </w:r>
      <w:proofErr w:type="spellEnd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>вольтарен</w:t>
      </w:r>
      <w:proofErr w:type="spellEnd"/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>. Хорошо помогают лечебная физкультура, плавание.</w:t>
      </w:r>
    </w:p>
    <w:p w:rsidR="00CC41B3" w:rsidRPr="007874DB" w:rsidRDefault="00CC41B3" w:rsidP="00CC41B3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bookmarkStart w:id="8" w:name="_Toc643"/>
      <w:r w:rsidRPr="007874DB">
        <w:rPr>
          <w:rFonts w:ascii="Times New Roman" w:hAnsi="Times New Roman"/>
          <w:sz w:val="24"/>
          <w:szCs w:val="24"/>
          <w:lang w:val="ru-RU" w:eastAsia="ru-RU"/>
        </w:rPr>
        <w:t>Профилактика</w:t>
      </w:r>
      <w:bookmarkEnd w:id="8"/>
    </w:p>
    <w:p w:rsidR="00CC41B3" w:rsidRDefault="00CC41B3" w:rsidP="00CC41B3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874DB">
        <w:rPr>
          <w:rFonts w:ascii="Times New Roman" w:hAnsi="Times New Roman"/>
          <w:color w:val="000000"/>
          <w:sz w:val="24"/>
          <w:szCs w:val="24"/>
          <w:lang w:val="ru-RU" w:eastAsia="ru-RU"/>
        </w:rPr>
        <w:t>Профилактика не разработана. Следует отказаться от курения.</w:t>
      </w:r>
    </w:p>
    <w:p w:rsidR="00CC41B3" w:rsidRDefault="00CC41B3" w:rsidP="00CC41B3">
      <w:pPr>
        <w:pStyle w:val="a5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D74B85" w:rsidRDefault="00D74B85"/>
    <w:sectPr w:rsidR="00D74B85" w:rsidSect="00CC4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5008ADE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73A5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E362F5"/>
    <w:multiLevelType w:val="multilevel"/>
    <w:tmpl w:val="54D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43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F06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B4D6B"/>
    <w:multiLevelType w:val="hybridMultilevel"/>
    <w:tmpl w:val="8FCC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97337"/>
    <w:multiLevelType w:val="multilevel"/>
    <w:tmpl w:val="A0A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50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34189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F7EE8"/>
    <w:multiLevelType w:val="multilevel"/>
    <w:tmpl w:val="CF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A680A"/>
    <w:multiLevelType w:val="multilevel"/>
    <w:tmpl w:val="389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7C2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C503B7"/>
    <w:multiLevelType w:val="hybridMultilevel"/>
    <w:tmpl w:val="026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E2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1B3"/>
    <w:rsid w:val="00756F8B"/>
    <w:rsid w:val="00CC41B3"/>
    <w:rsid w:val="00D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B3"/>
  </w:style>
  <w:style w:type="paragraph" w:styleId="1">
    <w:name w:val="heading 1"/>
    <w:basedOn w:val="a"/>
    <w:next w:val="a"/>
    <w:link w:val="10"/>
    <w:uiPriority w:val="9"/>
    <w:qFormat/>
    <w:rsid w:val="00CC41B3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41B3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41B3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41B3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C41B3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41B3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C41B3"/>
    <w:pPr>
      <w:numPr>
        <w:ilvl w:val="6"/>
        <w:numId w:val="7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C41B3"/>
    <w:pPr>
      <w:numPr>
        <w:ilvl w:val="7"/>
        <w:numId w:val="7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C41B3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B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1B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1B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1B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41B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41B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41B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41B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41B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C41B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CC41B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CC41B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CC41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41B3"/>
    <w:rPr>
      <w:rFonts w:cs="Times New Roman"/>
    </w:rPr>
  </w:style>
  <w:style w:type="paragraph" w:styleId="a7">
    <w:name w:val="Normal (Web)"/>
    <w:basedOn w:val="a"/>
    <w:uiPriority w:val="99"/>
    <w:rsid w:val="00CC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C41B3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CC41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C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C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pisema-moim-druzeyam-eto-izdanie-soderjit-polnoe-sobranie.html" TargetMode="External"/><Relationship Id="rId12" Type="http://schemas.openxmlformats.org/officeDocument/2006/relationships/hyperlink" Target="http://www.s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saharnij-diabet-i-diagnostika-n-s-mishustina-m-l-shabanova-e-y.html" TargetMode="External"/><Relationship Id="rId11" Type="http://schemas.openxmlformats.org/officeDocument/2006/relationships/hyperlink" Target="http://www.wedmedinfo.ru" TargetMode="External"/><Relationship Id="rId5" Type="http://schemas.openxmlformats.org/officeDocument/2006/relationships/hyperlink" Target="http://zodorov.ru/dati-poezdok-30-noyabrya--2-dekabrya-2012-g.html" TargetMode="External"/><Relationship Id="rId10" Type="http://schemas.openxmlformats.org/officeDocument/2006/relationships/hyperlink" Target="http://www.bankkn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3137</Words>
  <Characters>17881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2</cp:revision>
  <dcterms:created xsi:type="dcterms:W3CDTF">2022-02-15T06:45:00Z</dcterms:created>
  <dcterms:modified xsi:type="dcterms:W3CDTF">2022-02-15T06:52:00Z</dcterms:modified>
</cp:coreProperties>
</file>