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6E" w:rsidRPr="007A4069" w:rsidRDefault="006A7092" w:rsidP="005C656E">
      <w:pPr>
        <w:pStyle w:val="1"/>
        <w:spacing w:before="78" w:line="235" w:lineRule="auto"/>
        <w:ind w:left="1225" w:right="986" w:firstLine="1426"/>
        <w:jc w:val="left"/>
        <w:rPr>
          <w:lang w:val="en-US"/>
        </w:rPr>
      </w:pPr>
      <w:bookmarkStart w:id="0" w:name="_TOC_250011"/>
      <w:bookmarkStart w:id="1" w:name="_GoBack"/>
      <w:r>
        <w:rPr>
          <w:color w:val="231F20"/>
          <w:lang w:val="en-US"/>
        </w:rPr>
        <w:t>Lecture</w:t>
      </w:r>
      <w:bookmarkEnd w:id="1"/>
      <w:r w:rsidR="005C656E" w:rsidRPr="007A4069">
        <w:rPr>
          <w:color w:val="231F20"/>
          <w:lang w:val="en-US"/>
        </w:rPr>
        <w:t xml:space="preserve"> </w:t>
      </w:r>
      <w:proofErr w:type="gramStart"/>
      <w:r w:rsidR="005C656E" w:rsidRPr="007A4069">
        <w:rPr>
          <w:color w:val="231F20"/>
          <w:lang w:val="en-US"/>
        </w:rPr>
        <w:t>4</w:t>
      </w:r>
      <w:r w:rsidR="005C656E" w:rsidRPr="007A4069">
        <w:rPr>
          <w:color w:val="231F20"/>
          <w:spacing w:val="1"/>
          <w:lang w:val="en-US"/>
        </w:rPr>
        <w:t xml:space="preserve"> </w:t>
      </w:r>
      <w:r w:rsidR="005C656E" w:rsidRPr="007A4069">
        <w:rPr>
          <w:color w:val="231F20"/>
          <w:lang w:val="en-US"/>
        </w:rPr>
        <w:t>PARADIGMATIC</w:t>
      </w:r>
      <w:r w:rsidR="005C656E" w:rsidRPr="007A4069">
        <w:rPr>
          <w:color w:val="231F20"/>
          <w:spacing w:val="-9"/>
          <w:lang w:val="en-US"/>
        </w:rPr>
        <w:t xml:space="preserve"> </w:t>
      </w:r>
      <w:bookmarkEnd w:id="0"/>
      <w:r w:rsidR="005C656E" w:rsidRPr="007A4069">
        <w:rPr>
          <w:color w:val="231F20"/>
          <w:lang w:val="en-US"/>
        </w:rPr>
        <w:t>SEMASIOLOGY</w:t>
      </w:r>
      <w:proofErr w:type="gramEnd"/>
      <w:r w:rsidR="005C656E" w:rsidRPr="007A4069">
        <w:rPr>
          <w:color w:val="231F20"/>
          <w:lang w:val="en-US"/>
        </w:rPr>
        <w:t>:</w:t>
      </w:r>
    </w:p>
    <w:p w:rsidR="005C656E" w:rsidRPr="007A4069" w:rsidRDefault="005C656E" w:rsidP="005C656E">
      <w:pPr>
        <w:pStyle w:val="1"/>
        <w:spacing w:line="271" w:lineRule="exact"/>
        <w:ind w:left="1855"/>
        <w:jc w:val="left"/>
        <w:rPr>
          <w:lang w:val="en-US"/>
        </w:rPr>
      </w:pPr>
      <w:bookmarkStart w:id="2" w:name="_TOC_250010"/>
      <w:bookmarkEnd w:id="2"/>
      <w:r w:rsidRPr="007A4069">
        <w:rPr>
          <w:color w:val="231F20"/>
          <w:lang w:val="en-US"/>
        </w:rPr>
        <w:t>FIGURES OF QUALITY</w:t>
      </w:r>
    </w:p>
    <w:p w:rsidR="005C656E" w:rsidRPr="007A4069" w:rsidRDefault="005C656E" w:rsidP="005C656E">
      <w:pPr>
        <w:pStyle w:val="a3"/>
        <w:spacing w:before="10"/>
        <w:ind w:left="0" w:firstLine="0"/>
        <w:rPr>
          <w:b/>
          <w:sz w:val="22"/>
          <w:lang w:val="en-US"/>
        </w:rPr>
      </w:pPr>
    </w:p>
    <w:p w:rsidR="005C656E" w:rsidRDefault="005C656E" w:rsidP="005C656E">
      <w:pPr>
        <w:pStyle w:val="a3"/>
        <w:spacing w:before="1" w:line="264" w:lineRule="exact"/>
        <w:ind w:left="135" w:right="253" w:firstLine="0"/>
        <w:jc w:val="center"/>
      </w:pPr>
      <w:r>
        <w:rPr>
          <w:color w:val="231F20"/>
        </w:rPr>
        <w:t>SEMINAR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OUTLINE</w:t>
      </w:r>
    </w:p>
    <w:p w:rsidR="005C656E" w:rsidRDefault="005C656E" w:rsidP="005C656E">
      <w:pPr>
        <w:pStyle w:val="a5"/>
        <w:numPr>
          <w:ilvl w:val="0"/>
          <w:numId w:val="1"/>
        </w:numPr>
        <w:tabs>
          <w:tab w:val="left" w:pos="681"/>
        </w:tabs>
        <w:rPr>
          <w:sz w:val="24"/>
        </w:rPr>
      </w:pPr>
      <w:proofErr w:type="spellStart"/>
      <w:r>
        <w:rPr>
          <w:color w:val="231F20"/>
          <w:sz w:val="24"/>
        </w:rPr>
        <w:t>Paradigmatic</w:t>
      </w:r>
      <w:proofErr w:type="spellEnd"/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semasiology</w:t>
      </w:r>
      <w:proofErr w:type="spellEnd"/>
      <w:r>
        <w:rPr>
          <w:color w:val="231F20"/>
          <w:sz w:val="24"/>
        </w:rPr>
        <w:t>:</w:t>
      </w:r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figures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of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quality</w:t>
      </w:r>
      <w:proofErr w:type="spellEnd"/>
    </w:p>
    <w:p w:rsidR="005C656E" w:rsidRDefault="005C656E" w:rsidP="005C656E">
      <w:pPr>
        <w:pStyle w:val="a5"/>
        <w:numPr>
          <w:ilvl w:val="0"/>
          <w:numId w:val="1"/>
        </w:numPr>
        <w:tabs>
          <w:tab w:val="left" w:pos="681"/>
        </w:tabs>
        <w:rPr>
          <w:sz w:val="24"/>
        </w:rPr>
      </w:pPr>
      <w:proofErr w:type="spellStart"/>
      <w:r>
        <w:rPr>
          <w:color w:val="231F20"/>
          <w:sz w:val="24"/>
        </w:rPr>
        <w:t>Metaphoric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group</w:t>
      </w:r>
      <w:proofErr w:type="spellEnd"/>
    </w:p>
    <w:p w:rsidR="005C656E" w:rsidRDefault="005C656E" w:rsidP="005C656E">
      <w:pPr>
        <w:pStyle w:val="a5"/>
        <w:numPr>
          <w:ilvl w:val="0"/>
          <w:numId w:val="1"/>
        </w:numPr>
        <w:tabs>
          <w:tab w:val="left" w:pos="681"/>
        </w:tabs>
        <w:rPr>
          <w:sz w:val="24"/>
        </w:rPr>
      </w:pPr>
      <w:proofErr w:type="spellStart"/>
      <w:r>
        <w:rPr>
          <w:color w:val="231F20"/>
          <w:sz w:val="24"/>
        </w:rPr>
        <w:t>Metonymic</w:t>
      </w:r>
      <w:proofErr w:type="spellEnd"/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group</w:t>
      </w:r>
      <w:proofErr w:type="spellEnd"/>
    </w:p>
    <w:p w:rsidR="005C656E" w:rsidRDefault="005C656E" w:rsidP="005C656E">
      <w:pPr>
        <w:pStyle w:val="a5"/>
        <w:numPr>
          <w:ilvl w:val="0"/>
          <w:numId w:val="1"/>
        </w:numPr>
        <w:tabs>
          <w:tab w:val="left" w:pos="681"/>
        </w:tabs>
        <w:spacing w:line="282" w:lineRule="exact"/>
        <w:rPr>
          <w:sz w:val="24"/>
        </w:rPr>
      </w:pPr>
      <w:proofErr w:type="spellStart"/>
      <w:r>
        <w:rPr>
          <w:color w:val="231F20"/>
          <w:sz w:val="24"/>
        </w:rPr>
        <w:t>Contrast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group</w:t>
      </w:r>
      <w:proofErr w:type="spellEnd"/>
    </w:p>
    <w:p w:rsidR="005C656E" w:rsidRDefault="005C656E" w:rsidP="005C656E">
      <w:pPr>
        <w:pStyle w:val="a3"/>
        <w:spacing w:before="10"/>
        <w:ind w:left="0" w:firstLine="0"/>
        <w:rPr>
          <w:sz w:val="22"/>
        </w:rPr>
      </w:pPr>
    </w:p>
    <w:p w:rsidR="005C656E" w:rsidRDefault="005C656E" w:rsidP="005C656E">
      <w:pPr>
        <w:pStyle w:val="1"/>
        <w:spacing w:line="273" w:lineRule="exact"/>
        <w:ind w:left="902"/>
        <w:jc w:val="both"/>
      </w:pPr>
      <w:proofErr w:type="spellStart"/>
      <w:r>
        <w:rPr>
          <w:color w:val="231F20"/>
        </w:rPr>
        <w:t>Paradigmatic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semasiology</w:t>
      </w:r>
      <w:proofErr w:type="spellEnd"/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figures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of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quality</w:t>
      </w:r>
      <w:proofErr w:type="spellEnd"/>
    </w:p>
    <w:p w:rsidR="005C656E" w:rsidRPr="007A4069" w:rsidRDefault="005C656E" w:rsidP="005C656E">
      <w:pPr>
        <w:pStyle w:val="a3"/>
        <w:spacing w:before="1" w:line="235" w:lineRule="auto"/>
        <w:ind w:right="232"/>
        <w:jc w:val="both"/>
        <w:rPr>
          <w:lang w:val="en-US"/>
        </w:rPr>
      </w:pPr>
      <w:r w:rsidRPr="007A4069">
        <w:rPr>
          <w:color w:val="231F20"/>
          <w:lang w:val="en-US"/>
        </w:rPr>
        <w:t>Paradigmatic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semasiology</w:t>
      </w:r>
      <w:r w:rsidRPr="007A4069">
        <w:rPr>
          <w:color w:val="231F20"/>
          <w:spacing w:val="1"/>
          <w:lang w:val="en-US"/>
        </w:rPr>
        <w:t xml:space="preserve"> </w:t>
      </w:r>
      <w:proofErr w:type="spellStart"/>
      <w:r w:rsidRPr="007A4069">
        <w:rPr>
          <w:color w:val="231F20"/>
          <w:lang w:val="en-US"/>
        </w:rPr>
        <w:t>stidies</w:t>
      </w:r>
      <w:proofErr w:type="spellEnd"/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figures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proofErr w:type="gramStart"/>
      <w:r w:rsidRPr="007A4069">
        <w:rPr>
          <w:color w:val="231F20"/>
          <w:lang w:val="en-US"/>
        </w:rPr>
        <w:t>replacement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which include</w:t>
      </w:r>
      <w:proofErr w:type="gramEnd"/>
      <w:r w:rsidRPr="007A4069">
        <w:rPr>
          <w:color w:val="231F20"/>
          <w:lang w:val="en-US"/>
        </w:rPr>
        <w:t xml:space="preserve"> two classes – figures of quantity (see seminar 3)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figures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of quality.</w:t>
      </w:r>
    </w:p>
    <w:p w:rsidR="005C656E" w:rsidRPr="007A4069" w:rsidRDefault="005C656E" w:rsidP="005C656E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color w:val="231F20"/>
          <w:w w:val="95"/>
          <w:lang w:val="en-US"/>
        </w:rPr>
        <w:t xml:space="preserve">In </w:t>
      </w:r>
      <w:r w:rsidRPr="007A4069">
        <w:rPr>
          <w:b/>
          <w:color w:val="231F20"/>
          <w:w w:val="95"/>
          <w:lang w:val="en-US"/>
        </w:rPr>
        <w:t xml:space="preserve">figures of quality </w:t>
      </w:r>
      <w:r w:rsidRPr="007A4069">
        <w:rPr>
          <w:color w:val="231F20"/>
          <w:w w:val="95"/>
          <w:lang w:val="en-US"/>
        </w:rPr>
        <w:t>renaming is based on transfer of meaning</w:t>
      </w:r>
      <w:r w:rsidRPr="007A4069">
        <w:rPr>
          <w:color w:val="231F20"/>
          <w:spacing w:val="1"/>
          <w:w w:val="95"/>
          <w:lang w:val="en-US"/>
        </w:rPr>
        <w:t xml:space="preserve"> </w:t>
      </w:r>
      <w:r w:rsidRPr="007A4069">
        <w:rPr>
          <w:color w:val="231F20"/>
          <w:lang w:val="en-US"/>
        </w:rPr>
        <w:t>by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similarity,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by contiguity, by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contrast.</w:t>
      </w:r>
    </w:p>
    <w:p w:rsidR="005C656E" w:rsidRPr="007A4069" w:rsidRDefault="005C656E" w:rsidP="005C656E">
      <w:pPr>
        <w:pStyle w:val="1"/>
        <w:spacing w:line="268" w:lineRule="exact"/>
        <w:ind w:left="2238"/>
        <w:jc w:val="both"/>
        <w:rPr>
          <w:lang w:val="en-US"/>
        </w:rPr>
      </w:pPr>
      <w:r w:rsidRPr="007A4069">
        <w:rPr>
          <w:color w:val="231F20"/>
          <w:lang w:val="en-US"/>
        </w:rPr>
        <w:t>Metaphoric group</w:t>
      </w:r>
    </w:p>
    <w:p w:rsidR="005C656E" w:rsidRPr="007A4069" w:rsidRDefault="005C656E" w:rsidP="005C656E">
      <w:pPr>
        <w:spacing w:before="1"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color w:val="231F20"/>
          <w:spacing w:val="-1"/>
          <w:sz w:val="24"/>
          <w:lang w:val="en-US"/>
        </w:rPr>
        <w:t>Transfer</w:t>
      </w:r>
      <w:r w:rsidRPr="007A4069">
        <w:rPr>
          <w:color w:val="231F20"/>
          <w:spacing w:val="-20"/>
          <w:sz w:val="24"/>
          <w:lang w:val="en-US"/>
        </w:rPr>
        <w:t xml:space="preserve"> </w:t>
      </w:r>
      <w:r w:rsidRPr="007A4069">
        <w:rPr>
          <w:color w:val="231F20"/>
          <w:spacing w:val="-1"/>
          <w:sz w:val="24"/>
          <w:lang w:val="en-US"/>
        </w:rPr>
        <w:t>of</w:t>
      </w:r>
      <w:r w:rsidRPr="007A4069">
        <w:rPr>
          <w:color w:val="231F20"/>
          <w:spacing w:val="-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names</w:t>
      </w:r>
      <w:r w:rsidRPr="007A4069">
        <w:rPr>
          <w:color w:val="231F20"/>
          <w:spacing w:val="-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by</w:t>
      </w:r>
      <w:r w:rsidRPr="007A4069">
        <w:rPr>
          <w:color w:val="231F20"/>
          <w:spacing w:val="-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similarity</w:t>
      </w:r>
      <w:r w:rsidRPr="007A4069">
        <w:rPr>
          <w:color w:val="231F20"/>
          <w:spacing w:val="-2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implies</w:t>
      </w:r>
      <w:r w:rsidRPr="007A4069">
        <w:rPr>
          <w:color w:val="231F20"/>
          <w:spacing w:val="-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that</w:t>
      </w:r>
      <w:r w:rsidRPr="007A4069">
        <w:rPr>
          <w:color w:val="231F20"/>
          <w:spacing w:val="-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one</w:t>
      </w:r>
      <w:r w:rsidRPr="007A4069">
        <w:rPr>
          <w:color w:val="231F20"/>
          <w:spacing w:val="-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denomination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 replaced by another denomination on the basis of likeness or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analogy</w:t>
      </w:r>
      <w:r w:rsidRPr="007A4069">
        <w:rPr>
          <w:color w:val="231F20"/>
          <w:spacing w:val="-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between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two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objects</w:t>
      </w:r>
      <w:r w:rsidRPr="007A4069">
        <w:rPr>
          <w:color w:val="231F20"/>
          <w:spacing w:val="-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notions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-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are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compared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in the speaker’s mind. Transfer based on similarity forms </w:t>
      </w:r>
      <w:r w:rsidRPr="007A4069">
        <w:rPr>
          <w:b/>
          <w:color w:val="231F20"/>
          <w:sz w:val="24"/>
          <w:lang w:val="en-US"/>
        </w:rPr>
        <w:t>the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 xml:space="preserve">metaphoric group </w:t>
      </w:r>
      <w:r w:rsidRPr="007A4069">
        <w:rPr>
          <w:color w:val="231F20"/>
          <w:sz w:val="24"/>
          <w:lang w:val="en-US"/>
        </w:rPr>
        <w:t>which includes metaphor (</w:t>
      </w:r>
      <w:r w:rsidRPr="007A4069">
        <w:rPr>
          <w:i/>
          <w:color w:val="231F20"/>
          <w:sz w:val="24"/>
          <w:lang w:val="en-US"/>
        </w:rPr>
        <w:t>a shadow of a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smile, a ray of hope, floods of tears, a storm of indignation</w:t>
      </w:r>
      <w:r w:rsidRPr="007A4069">
        <w:rPr>
          <w:color w:val="231F20"/>
          <w:sz w:val="24"/>
          <w:lang w:val="en-US"/>
        </w:rPr>
        <w:t>),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personification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Even</w:t>
      </w:r>
      <w:r w:rsidRPr="007A4069">
        <w:rPr>
          <w:i/>
          <w:color w:val="231F20"/>
          <w:spacing w:val="-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-4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chairs</w:t>
      </w:r>
      <w:r w:rsidRPr="007A4069">
        <w:rPr>
          <w:i/>
          <w:color w:val="231F20"/>
          <w:spacing w:val="-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were</w:t>
      </w:r>
      <w:r w:rsidRPr="007A4069">
        <w:rPr>
          <w:i/>
          <w:color w:val="231F20"/>
          <w:spacing w:val="-4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bored</w:t>
      </w:r>
      <w:r w:rsidRPr="007A4069">
        <w:rPr>
          <w:color w:val="231F20"/>
          <w:sz w:val="24"/>
          <w:lang w:val="en-US"/>
        </w:rPr>
        <w:t>),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allusion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-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rain</w:t>
      </w:r>
      <w:r w:rsidRPr="007A4069">
        <w:rPr>
          <w:i/>
          <w:color w:val="231F20"/>
          <w:spacing w:val="-5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stopped.</w:t>
      </w:r>
      <w:r w:rsidRPr="007A4069">
        <w:rPr>
          <w:i/>
          <w:color w:val="231F20"/>
          <w:spacing w:val="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What</w:t>
      </w:r>
      <w:r w:rsidRPr="007A4069">
        <w:rPr>
          <w:i/>
          <w:color w:val="231F20"/>
          <w:spacing w:val="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had</w:t>
      </w:r>
      <w:r w:rsidRPr="007A4069">
        <w:rPr>
          <w:i/>
          <w:color w:val="231F20"/>
          <w:spacing w:val="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been</w:t>
      </w:r>
      <w:r w:rsidRPr="007A4069">
        <w:rPr>
          <w:i/>
          <w:color w:val="231F20"/>
          <w:spacing w:val="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</w:t>
      </w:r>
      <w:r w:rsidRPr="007A4069">
        <w:rPr>
          <w:i/>
          <w:color w:val="231F20"/>
          <w:spacing w:val="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Niagara</w:t>
      </w:r>
      <w:r w:rsidRPr="007A4069">
        <w:rPr>
          <w:i/>
          <w:color w:val="231F20"/>
          <w:spacing w:val="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</w:t>
      </w:r>
      <w:r w:rsidRPr="007A4069">
        <w:rPr>
          <w:i/>
          <w:color w:val="231F20"/>
          <w:spacing w:val="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now</w:t>
      </w:r>
      <w:r w:rsidRPr="007A4069">
        <w:rPr>
          <w:i/>
          <w:color w:val="231F20"/>
          <w:spacing w:val="14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</w:t>
      </w:r>
      <w:r w:rsidRPr="007A4069">
        <w:rPr>
          <w:i/>
          <w:color w:val="231F20"/>
          <w:spacing w:val="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little</w:t>
      </w:r>
      <w:r w:rsidRPr="007A4069">
        <w:rPr>
          <w:i/>
          <w:color w:val="231F20"/>
          <w:spacing w:val="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more</w:t>
      </w:r>
      <w:r w:rsidRPr="007A4069">
        <w:rPr>
          <w:i/>
          <w:color w:val="231F20"/>
          <w:spacing w:val="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than</w:t>
      </w:r>
      <w:r w:rsidRPr="007A4069">
        <w:rPr>
          <w:i/>
          <w:color w:val="231F20"/>
          <w:spacing w:val="-5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 drizzle</w:t>
      </w:r>
      <w:r w:rsidRPr="007A4069">
        <w:rPr>
          <w:color w:val="231F20"/>
          <w:sz w:val="24"/>
          <w:lang w:val="en-US"/>
        </w:rPr>
        <w:t>), antonomasia (</w:t>
      </w:r>
      <w:r w:rsidRPr="007A4069">
        <w:rPr>
          <w:i/>
          <w:color w:val="231F20"/>
          <w:sz w:val="24"/>
          <w:lang w:val="en-US"/>
        </w:rPr>
        <w:t>This guy is an Einstein; He bought 5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proofErr w:type="spellStart"/>
      <w:r w:rsidRPr="007A4069">
        <w:rPr>
          <w:i/>
          <w:color w:val="231F20"/>
          <w:sz w:val="24"/>
          <w:lang w:val="en-US"/>
        </w:rPr>
        <w:t>Cézannes</w:t>
      </w:r>
      <w:proofErr w:type="spellEnd"/>
      <w:r w:rsidRPr="007A4069">
        <w:rPr>
          <w:i/>
          <w:color w:val="231F20"/>
          <w:sz w:val="24"/>
          <w:lang w:val="en-US"/>
        </w:rPr>
        <w:t xml:space="preserve">; Mr. Snake; </w:t>
      </w:r>
      <w:proofErr w:type="spellStart"/>
      <w:r w:rsidRPr="007A4069">
        <w:rPr>
          <w:i/>
          <w:color w:val="231F20"/>
          <w:sz w:val="24"/>
          <w:lang w:val="en-US"/>
        </w:rPr>
        <w:t>Mr</w:t>
      </w:r>
      <w:proofErr w:type="spellEnd"/>
      <w:r w:rsidRPr="007A4069">
        <w:rPr>
          <w:i/>
          <w:color w:val="231F20"/>
          <w:sz w:val="24"/>
          <w:lang w:val="en-US"/>
        </w:rPr>
        <w:t xml:space="preserve"> What’s-his-name</w:t>
      </w:r>
      <w:r w:rsidRPr="007A4069">
        <w:rPr>
          <w:color w:val="231F20"/>
          <w:sz w:val="24"/>
          <w:lang w:val="en-US"/>
        </w:rPr>
        <w:t>).</w:t>
      </w:r>
    </w:p>
    <w:p w:rsidR="005C656E" w:rsidRPr="007A4069" w:rsidRDefault="005C656E" w:rsidP="005C656E">
      <w:pPr>
        <w:pStyle w:val="1"/>
        <w:spacing w:line="264" w:lineRule="exact"/>
        <w:ind w:left="2258"/>
        <w:jc w:val="both"/>
        <w:rPr>
          <w:lang w:val="en-US"/>
        </w:rPr>
      </w:pPr>
      <w:r w:rsidRPr="007A4069">
        <w:rPr>
          <w:color w:val="231F20"/>
          <w:lang w:val="en-US"/>
        </w:rPr>
        <w:t>Metonymic group</w:t>
      </w:r>
    </w:p>
    <w:p w:rsidR="005C656E" w:rsidRPr="007A4069" w:rsidRDefault="005C656E" w:rsidP="005C656E">
      <w:pPr>
        <w:spacing w:before="1" w:line="235" w:lineRule="auto"/>
        <w:ind w:left="113" w:right="229" w:firstLine="283"/>
        <w:jc w:val="both"/>
        <w:rPr>
          <w:i/>
          <w:sz w:val="24"/>
          <w:lang w:val="en-US"/>
        </w:rPr>
      </w:pPr>
      <w:r w:rsidRPr="007A4069">
        <w:rPr>
          <w:color w:val="231F20"/>
          <w:sz w:val="24"/>
          <w:lang w:val="en-US"/>
        </w:rPr>
        <w:t>Transfer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based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contiguity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involves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connection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existing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between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two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notions: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one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named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and the one which is implied. Transfer of names by contiguity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constitutes </w:t>
      </w:r>
      <w:r w:rsidRPr="007A4069">
        <w:rPr>
          <w:b/>
          <w:color w:val="231F20"/>
          <w:sz w:val="24"/>
          <w:lang w:val="en-US"/>
        </w:rPr>
        <w:t xml:space="preserve">the metonymic group </w:t>
      </w:r>
      <w:r w:rsidRPr="007A4069">
        <w:rPr>
          <w:color w:val="231F20"/>
          <w:sz w:val="24"/>
          <w:lang w:val="en-US"/>
        </w:rPr>
        <w:t>which includes metonymy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The kettle is boiling; The maid was cleaning silver; Blue suit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grinned</w:t>
      </w:r>
      <w:r w:rsidRPr="007A4069">
        <w:rPr>
          <w:color w:val="231F20"/>
          <w:sz w:val="24"/>
          <w:lang w:val="en-US"/>
        </w:rPr>
        <w:t>),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synecdoche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Hands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wanted</w:t>
      </w:r>
      <w:proofErr w:type="gramStart"/>
      <w:r w:rsidRPr="007A4069">
        <w:rPr>
          <w:i/>
          <w:color w:val="231F20"/>
          <w:sz w:val="24"/>
          <w:lang w:val="en-US"/>
        </w:rPr>
        <w:t>!</w:t>
      </w:r>
      <w:r w:rsidRPr="007A4069">
        <w:rPr>
          <w:color w:val="231F20"/>
          <w:sz w:val="24"/>
          <w:lang w:val="en-US"/>
        </w:rPr>
        <w:t>;</w:t>
      </w:r>
      <w:proofErr w:type="gramEnd"/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fleet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50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sails</w:t>
      </w:r>
      <w:r w:rsidRPr="007A4069">
        <w:rPr>
          <w:color w:val="231F20"/>
          <w:sz w:val="24"/>
          <w:lang w:val="en-US"/>
        </w:rPr>
        <w:t>),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periphrasis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daughters of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Eve; Land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 the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Rising Sun;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 Iron</w:t>
      </w:r>
    </w:p>
    <w:p w:rsidR="005C656E" w:rsidRPr="007A4069" w:rsidRDefault="005C656E" w:rsidP="005C656E">
      <w:pPr>
        <w:spacing w:line="235" w:lineRule="auto"/>
        <w:jc w:val="both"/>
        <w:rPr>
          <w:sz w:val="24"/>
          <w:lang w:val="en-US"/>
        </w:rPr>
        <w:sectPr w:rsidR="005C656E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5C656E" w:rsidRPr="007A4069" w:rsidRDefault="005C656E" w:rsidP="005C656E">
      <w:pPr>
        <w:spacing w:before="82" w:line="235" w:lineRule="auto"/>
        <w:ind w:left="113" w:right="231"/>
        <w:jc w:val="both"/>
        <w:rPr>
          <w:sz w:val="24"/>
          <w:lang w:val="en-US"/>
        </w:rPr>
      </w:pPr>
      <w:proofErr w:type="gramStart"/>
      <w:r w:rsidRPr="007A4069">
        <w:rPr>
          <w:i/>
          <w:color w:val="231F20"/>
          <w:sz w:val="24"/>
          <w:lang w:val="en-US"/>
        </w:rPr>
        <w:lastRenderedPageBreak/>
        <w:t>Lady; alterations and improvements on the truth</w:t>
      </w:r>
      <w:r w:rsidRPr="007A4069">
        <w:rPr>
          <w:color w:val="231F20"/>
          <w:sz w:val="24"/>
          <w:lang w:val="en-US"/>
        </w:rPr>
        <w:t>), euphemism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economic mismanagement</w:t>
      </w:r>
      <w:r w:rsidRPr="007A4069">
        <w:rPr>
          <w:color w:val="231F20"/>
          <w:sz w:val="24"/>
          <w:lang w:val="en-US"/>
        </w:rPr>
        <w:t xml:space="preserve">; </w:t>
      </w:r>
      <w:r w:rsidRPr="007A4069">
        <w:rPr>
          <w:i/>
          <w:color w:val="231F20"/>
          <w:sz w:val="24"/>
          <w:lang w:val="en-US"/>
        </w:rPr>
        <w:t>armed conflict</w:t>
      </w:r>
      <w:r w:rsidRPr="007A4069">
        <w:rPr>
          <w:color w:val="231F20"/>
          <w:sz w:val="24"/>
          <w:lang w:val="en-US"/>
        </w:rPr>
        <w:t xml:space="preserve">; </w:t>
      </w:r>
      <w:r w:rsidRPr="007A4069">
        <w:rPr>
          <w:i/>
          <w:color w:val="231F20"/>
          <w:sz w:val="24"/>
          <w:lang w:val="en-US"/>
        </w:rPr>
        <w:t>undernourishment;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differently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sized</w:t>
      </w:r>
      <w:r w:rsidRPr="007A4069">
        <w:rPr>
          <w:color w:val="231F20"/>
          <w:sz w:val="24"/>
          <w:lang w:val="en-US"/>
        </w:rPr>
        <w:t>).</w:t>
      </w:r>
      <w:proofErr w:type="gramEnd"/>
    </w:p>
    <w:p w:rsidR="005C656E" w:rsidRPr="007A4069" w:rsidRDefault="005C656E" w:rsidP="005C656E">
      <w:pPr>
        <w:pStyle w:val="1"/>
        <w:spacing w:line="267" w:lineRule="exact"/>
        <w:ind w:left="2385"/>
        <w:jc w:val="both"/>
        <w:rPr>
          <w:lang w:val="en-US"/>
        </w:rPr>
      </w:pPr>
      <w:r w:rsidRPr="007A4069">
        <w:rPr>
          <w:color w:val="231F20"/>
          <w:lang w:val="en-US"/>
        </w:rPr>
        <w:t>Contrast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group</w:t>
      </w:r>
    </w:p>
    <w:p w:rsidR="005C656E" w:rsidRPr="007A4069" w:rsidRDefault="005C656E" w:rsidP="005C656E">
      <w:pPr>
        <w:pStyle w:val="a3"/>
        <w:spacing w:before="1" w:line="235" w:lineRule="auto"/>
        <w:ind w:right="230"/>
        <w:jc w:val="both"/>
        <w:rPr>
          <w:lang w:val="en-US"/>
        </w:rPr>
      </w:pPr>
      <w:r w:rsidRPr="007A4069">
        <w:rPr>
          <w:color w:val="231F20"/>
          <w:lang w:val="en-US"/>
        </w:rPr>
        <w:t xml:space="preserve">Transfer based on </w:t>
      </w:r>
      <w:r w:rsidRPr="007A4069">
        <w:rPr>
          <w:b/>
          <w:color w:val="231F20"/>
          <w:lang w:val="en-US"/>
        </w:rPr>
        <w:t xml:space="preserve">contrast </w:t>
      </w:r>
      <w:r w:rsidRPr="007A4069">
        <w:rPr>
          <w:color w:val="231F20"/>
          <w:lang w:val="en-US"/>
        </w:rPr>
        <w:t>implies the discrepancy between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what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is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said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and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what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meant: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contextual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meaning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word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is directly opposite to its dictionary meaning. It is observed in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verbal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irony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A</w:t>
      </w:r>
      <w:r w:rsidRPr="007A4069">
        <w:rPr>
          <w:i/>
          <w:color w:val="231F20"/>
          <w:spacing w:val="-11"/>
          <w:lang w:val="en-US"/>
        </w:rPr>
        <w:t xml:space="preserve"> </w:t>
      </w:r>
      <w:r w:rsidRPr="007A4069">
        <w:rPr>
          <w:i/>
          <w:color w:val="231F20"/>
          <w:lang w:val="en-US"/>
        </w:rPr>
        <w:t>fine</w:t>
      </w:r>
      <w:r w:rsidRPr="007A4069">
        <w:rPr>
          <w:i/>
          <w:color w:val="231F20"/>
          <w:spacing w:val="-10"/>
          <w:lang w:val="en-US"/>
        </w:rPr>
        <w:t xml:space="preserve"> </w:t>
      </w:r>
      <w:r w:rsidRPr="007A4069">
        <w:rPr>
          <w:i/>
          <w:color w:val="231F20"/>
          <w:lang w:val="en-US"/>
        </w:rPr>
        <w:t>friend</w:t>
      </w:r>
      <w:r w:rsidRPr="007A4069">
        <w:rPr>
          <w:i/>
          <w:color w:val="231F20"/>
          <w:spacing w:val="-11"/>
          <w:lang w:val="en-US"/>
        </w:rPr>
        <w:t xml:space="preserve"> </w:t>
      </w:r>
      <w:r w:rsidRPr="007A4069">
        <w:rPr>
          <w:i/>
          <w:color w:val="231F20"/>
          <w:lang w:val="en-US"/>
        </w:rPr>
        <w:t>you</w:t>
      </w:r>
      <w:r w:rsidRPr="007A4069">
        <w:rPr>
          <w:i/>
          <w:color w:val="231F20"/>
          <w:spacing w:val="-11"/>
          <w:lang w:val="en-US"/>
        </w:rPr>
        <w:t xml:space="preserve"> </w:t>
      </w:r>
      <w:r w:rsidRPr="007A4069">
        <w:rPr>
          <w:i/>
          <w:color w:val="231F20"/>
          <w:lang w:val="en-US"/>
        </w:rPr>
        <w:t>are!</w:t>
      </w:r>
      <w:r w:rsidRPr="007A4069">
        <w:rPr>
          <w:i/>
          <w:color w:val="231F20"/>
          <w:spacing w:val="-10"/>
          <w:lang w:val="en-US"/>
        </w:rPr>
        <w:t xml:space="preserve"> </w:t>
      </w:r>
      <w:r w:rsidRPr="007A4069">
        <w:rPr>
          <w:i/>
          <w:color w:val="231F20"/>
          <w:lang w:val="en-US"/>
        </w:rPr>
        <w:t>That’s</w:t>
      </w:r>
      <w:r w:rsidRPr="007A4069">
        <w:rPr>
          <w:i/>
          <w:color w:val="231F20"/>
          <w:spacing w:val="-11"/>
          <w:lang w:val="en-US"/>
        </w:rPr>
        <w:t xml:space="preserve"> </w:t>
      </w:r>
      <w:r w:rsidRPr="007A4069">
        <w:rPr>
          <w:i/>
          <w:color w:val="231F20"/>
          <w:lang w:val="en-US"/>
        </w:rPr>
        <w:t>a</w:t>
      </w:r>
      <w:r w:rsidRPr="007A4069">
        <w:rPr>
          <w:i/>
          <w:color w:val="231F20"/>
          <w:spacing w:val="-11"/>
          <w:lang w:val="en-US"/>
        </w:rPr>
        <w:t xml:space="preserve"> </w:t>
      </w:r>
      <w:r w:rsidRPr="007A4069">
        <w:rPr>
          <w:i/>
          <w:color w:val="231F20"/>
          <w:lang w:val="en-US"/>
        </w:rPr>
        <w:t>pretty</w:t>
      </w:r>
      <w:r w:rsidRPr="007A4069">
        <w:rPr>
          <w:i/>
          <w:color w:val="231F20"/>
          <w:spacing w:val="-10"/>
          <w:lang w:val="en-US"/>
        </w:rPr>
        <w:t xml:space="preserve"> </w:t>
      </w:r>
      <w:r w:rsidRPr="007A4069">
        <w:rPr>
          <w:i/>
          <w:color w:val="231F20"/>
          <w:lang w:val="en-US"/>
        </w:rPr>
        <w:t>kettle</w:t>
      </w:r>
      <w:r w:rsidRPr="007A4069">
        <w:rPr>
          <w:i/>
          <w:color w:val="231F20"/>
          <w:spacing w:val="-11"/>
          <w:lang w:val="en-US"/>
        </w:rPr>
        <w:t xml:space="preserve"> </w:t>
      </w:r>
      <w:r w:rsidRPr="007A4069">
        <w:rPr>
          <w:i/>
          <w:color w:val="231F20"/>
          <w:lang w:val="en-US"/>
        </w:rPr>
        <w:t>of</w:t>
      </w:r>
      <w:r w:rsidRPr="007A4069">
        <w:rPr>
          <w:i/>
          <w:color w:val="231F20"/>
          <w:spacing w:val="-11"/>
          <w:lang w:val="en-US"/>
        </w:rPr>
        <w:t xml:space="preserve"> </w:t>
      </w:r>
      <w:r w:rsidRPr="007A4069">
        <w:rPr>
          <w:i/>
          <w:color w:val="231F20"/>
          <w:lang w:val="en-US"/>
        </w:rPr>
        <w:t>fish!</w:t>
      </w:r>
      <w:r w:rsidRPr="007A4069">
        <w:rPr>
          <w:color w:val="231F20"/>
          <w:lang w:val="en-US"/>
        </w:rPr>
        <w:t>)</w:t>
      </w:r>
      <w:r w:rsidRPr="007A4069">
        <w:rPr>
          <w:color w:val="231F20"/>
          <w:spacing w:val="-57"/>
          <w:lang w:val="en-US"/>
        </w:rPr>
        <w:t xml:space="preserve"> </w:t>
      </w:r>
      <w:proofErr w:type="gramStart"/>
      <w:r w:rsidRPr="007A4069">
        <w:rPr>
          <w:color w:val="231F20"/>
          <w:lang w:val="en-US"/>
        </w:rPr>
        <w:t>and</w:t>
      </w:r>
      <w:proofErr w:type="gramEnd"/>
      <w:r w:rsidRPr="007A4069">
        <w:rPr>
          <w:color w:val="231F20"/>
          <w:lang w:val="en-US"/>
        </w:rPr>
        <w:t xml:space="preserve"> </w:t>
      </w:r>
      <w:proofErr w:type="spellStart"/>
      <w:r w:rsidRPr="007A4069">
        <w:rPr>
          <w:color w:val="231F20"/>
          <w:lang w:val="en-US"/>
        </w:rPr>
        <w:t>astheism</w:t>
      </w:r>
      <w:proofErr w:type="spellEnd"/>
      <w:r w:rsidRPr="007A4069">
        <w:rPr>
          <w:color w:val="231F20"/>
          <w:lang w:val="en-US"/>
        </w:rPr>
        <w:t xml:space="preserve"> (</w:t>
      </w:r>
      <w:r w:rsidRPr="007A4069">
        <w:rPr>
          <w:i/>
          <w:color w:val="231F20"/>
          <w:lang w:val="en-US"/>
        </w:rPr>
        <w:t xml:space="preserve">Clever bastard! </w:t>
      </w:r>
      <w:proofErr w:type="gramStart"/>
      <w:r w:rsidRPr="007A4069">
        <w:rPr>
          <w:i/>
          <w:color w:val="231F20"/>
          <w:lang w:val="en-US"/>
        </w:rPr>
        <w:t>Lucky devil!</w:t>
      </w:r>
      <w:r w:rsidRPr="007A4069">
        <w:rPr>
          <w:color w:val="231F20"/>
          <w:lang w:val="en-US"/>
        </w:rPr>
        <w:t>).</w:t>
      </w:r>
      <w:proofErr w:type="gramEnd"/>
      <w:r w:rsidRPr="007A4069">
        <w:rPr>
          <w:color w:val="231F20"/>
          <w:lang w:val="en-US"/>
        </w:rPr>
        <w:t xml:space="preserve"> Ironic effect can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also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be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achieved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as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result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mixture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registers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speech,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which implies the use of high-flown, elevated linguistic units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with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reference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insignificant,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socially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low topics.</w:t>
      </w:r>
    </w:p>
    <w:p w:rsidR="00E75770" w:rsidRPr="005C656E" w:rsidRDefault="00E75770">
      <w:pPr>
        <w:rPr>
          <w:lang w:val="en-US"/>
        </w:rPr>
      </w:pPr>
    </w:p>
    <w:sectPr w:rsidR="00E75770" w:rsidRPr="005C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DE0"/>
    <w:multiLevelType w:val="hybridMultilevel"/>
    <w:tmpl w:val="0CF217A0"/>
    <w:lvl w:ilvl="0" w:tplc="AF049DEE">
      <w:numFmt w:val="bullet"/>
      <w:lvlText w:val=""/>
      <w:lvlJc w:val="left"/>
      <w:pPr>
        <w:ind w:left="680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ru-RU" w:eastAsia="en-US" w:bidi="ar-SA"/>
      </w:rPr>
    </w:lvl>
    <w:lvl w:ilvl="1" w:tplc="5C105C1E">
      <w:numFmt w:val="bullet"/>
      <w:lvlText w:val="•"/>
      <w:lvlJc w:val="left"/>
      <w:pPr>
        <w:ind w:left="1259" w:hanging="284"/>
      </w:pPr>
      <w:rPr>
        <w:rFonts w:hint="default"/>
        <w:lang w:val="ru-RU" w:eastAsia="en-US" w:bidi="ar-SA"/>
      </w:rPr>
    </w:lvl>
    <w:lvl w:ilvl="2" w:tplc="834A30A4">
      <w:numFmt w:val="bullet"/>
      <w:lvlText w:val="•"/>
      <w:lvlJc w:val="left"/>
      <w:pPr>
        <w:ind w:left="1838" w:hanging="284"/>
      </w:pPr>
      <w:rPr>
        <w:rFonts w:hint="default"/>
        <w:lang w:val="ru-RU" w:eastAsia="en-US" w:bidi="ar-SA"/>
      </w:rPr>
    </w:lvl>
    <w:lvl w:ilvl="3" w:tplc="6AE0A2DA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4" w:tplc="1BF04370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5" w:tplc="7854A3A2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6" w:tplc="1936A286">
      <w:numFmt w:val="bullet"/>
      <w:lvlText w:val="•"/>
      <w:lvlJc w:val="left"/>
      <w:pPr>
        <w:ind w:left="4154" w:hanging="284"/>
      </w:pPr>
      <w:rPr>
        <w:rFonts w:hint="default"/>
        <w:lang w:val="ru-RU" w:eastAsia="en-US" w:bidi="ar-SA"/>
      </w:rPr>
    </w:lvl>
    <w:lvl w:ilvl="7" w:tplc="75801CB4">
      <w:numFmt w:val="bullet"/>
      <w:lvlText w:val="•"/>
      <w:lvlJc w:val="left"/>
      <w:pPr>
        <w:ind w:left="4733" w:hanging="284"/>
      </w:pPr>
      <w:rPr>
        <w:rFonts w:hint="default"/>
        <w:lang w:val="ru-RU" w:eastAsia="en-US" w:bidi="ar-SA"/>
      </w:rPr>
    </w:lvl>
    <w:lvl w:ilvl="8" w:tplc="8C90EE72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6E"/>
    <w:rsid w:val="005C656E"/>
    <w:rsid w:val="006A7092"/>
    <w:rsid w:val="00E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C656E"/>
    <w:pPr>
      <w:ind w:left="1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65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C656E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65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C656E"/>
    <w:pPr>
      <w:spacing w:line="270" w:lineRule="exact"/>
      <w:ind w:left="1175" w:hanging="2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C656E"/>
    <w:pPr>
      <w:ind w:left="1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65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C656E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65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C656E"/>
    <w:pPr>
      <w:spacing w:line="270" w:lineRule="exact"/>
      <w:ind w:left="1175" w:hanging="2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2023-01-19T05:04:00Z</dcterms:created>
  <dcterms:modified xsi:type="dcterms:W3CDTF">2023-01-19T05:15:00Z</dcterms:modified>
</cp:coreProperties>
</file>