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8" w:rsidRPr="000F3B38" w:rsidRDefault="000F3B38" w:rsidP="000F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3B3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E6291DE" wp14:editId="6682C797">
            <wp:simplePos x="0" y="0"/>
            <wp:positionH relativeFrom="column">
              <wp:posOffset>-166370</wp:posOffset>
            </wp:positionH>
            <wp:positionV relativeFrom="paragraph">
              <wp:posOffset>12700</wp:posOffset>
            </wp:positionV>
            <wp:extent cx="1188085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127" y="21246"/>
                <wp:lineTo x="21127" y="0"/>
                <wp:lineTo x="0" y="0"/>
              </wp:wrapPolygon>
            </wp:wrapTight>
            <wp:docPr id="1" name="Рисунок 3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Gerbosu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Ошский</w:t>
      </w:r>
      <w:proofErr w:type="spellEnd"/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государственный университет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Колледж международных образовательных программ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y-KG" w:eastAsia="ru-RU"/>
        </w:rPr>
      </w:pPr>
      <w:r w:rsidRPr="000F3B38">
        <w:rPr>
          <w:rFonts w:ascii="Times New Roman" w:eastAsia="Times New Roman" w:hAnsi="Times New Roman" w:cs="Times New Roman"/>
          <w:b/>
          <w:sz w:val="40"/>
          <w:szCs w:val="40"/>
          <w:lang w:val="ky-KG" w:eastAsia="ru-RU"/>
        </w:rPr>
        <w:t xml:space="preserve"> </w:t>
      </w:r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Отделение </w:t>
      </w:r>
      <w:r w:rsidRPr="000F3B38">
        <w:rPr>
          <w:rFonts w:ascii="Times New Roman" w:eastAsia="Times New Roman" w:hAnsi="Times New Roman" w:cs="Times New Roman"/>
          <w:b/>
          <w:sz w:val="40"/>
          <w:szCs w:val="40"/>
          <w:lang w:val="ky-KG" w:eastAsia="ru-RU"/>
        </w:rPr>
        <w:t>“Переводческое дело: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y-KG" w:eastAsia="ru-RU"/>
        </w:rPr>
      </w:pPr>
      <w:r w:rsidRPr="000F3B38">
        <w:rPr>
          <w:rFonts w:ascii="Times New Roman" w:eastAsia="Times New Roman" w:hAnsi="Times New Roman" w:cs="Times New Roman"/>
          <w:b/>
          <w:sz w:val="40"/>
          <w:szCs w:val="40"/>
          <w:lang w:val="ky-KG" w:eastAsia="ru-RU"/>
        </w:rPr>
        <w:t xml:space="preserve">                   английский язык”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B38" w:rsidRPr="000F3B38" w:rsidRDefault="000F3B38" w:rsidP="000F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МЕТОДИЧЕСКИЕ РЕКОМЕНДАЦИИ ДЛЯ СТУДЕНТОВ ПО ИЗУЧЕНИЮ ДИСЦИПЛИНЫ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«Теория и практика межкультурной коммуникации»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left="426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ky-KG" w:eastAsia="ru-RU"/>
        </w:rPr>
      </w:pPr>
      <w:r w:rsidRPr="000F3B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Ош-202</w:t>
      </w:r>
      <w:r w:rsidRPr="000F3B38">
        <w:rPr>
          <w:rFonts w:ascii="Times New Roman" w:eastAsia="Times New Roman" w:hAnsi="Times New Roman" w:cs="Times New Roman"/>
          <w:b/>
          <w:bCs/>
          <w:sz w:val="36"/>
          <w:szCs w:val="36"/>
          <w:lang w:val="ky-KG" w:eastAsia="ru-RU"/>
        </w:rPr>
        <w:t>2</w:t>
      </w:r>
    </w:p>
    <w:p w:rsidR="000F3B38" w:rsidRPr="000F3B38" w:rsidRDefault="000F3B38" w:rsidP="000F3B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F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2.4.5. Методические рекомендации для студентов по изучению дисциплины «Теория и практика межкультурной коммуникации»</w:t>
      </w:r>
    </w:p>
    <w:p w:rsidR="000F3B38" w:rsidRPr="000F3B38" w:rsidRDefault="000F3B38" w:rsidP="000F3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B38" w:rsidRPr="000F3B38" w:rsidRDefault="000F3B38" w:rsidP="000F3B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планируемая учебная, учебно-исследовательская, научно- 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важным видом учебной и научной деятельности. Федеральным государственным образовательным стандартом предусматривается значительный объем времени из общей трудоемкости дисциплины на самостоятельную работу. В связи с этим, обучение включает в себя две, практически одинаковые по объему и взаимовлиянию части – процесса обучения и процесса самообучения. Поэтому самостоятельная работа должна стать эффективной и целенаправленной работой студента. </w:t>
      </w:r>
      <w:proofErr w:type="gram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модернизации российского образования определены основные задачи профессионального образования –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мобильности.</w:t>
      </w:r>
      <w:proofErr w:type="gram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предполагает, прежде всего, его научно-исследовательскую и практическую деятельность, поскольку именно эти виды учебной работы в первую очередь готовят к самостоятельному выполнению профессиональных задач. Конечной целью самостоятельной работы является организация самостоятельной познавательной деятельности, формирование умения самостоятельно анализировать информацию, выделять главное и второстепенное.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numPr>
          <w:ilvl w:val="6"/>
          <w:numId w:val="1"/>
        </w:numPr>
        <w:spacing w:after="0" w:line="252" w:lineRule="exact"/>
        <w:ind w:left="284"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самостоятельной работы студентов при изучении дисциплины </w:t>
      </w:r>
      <w:r w:rsidRPr="000F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«Теория и практика межкультурной коммуникации»</w:t>
      </w:r>
    </w:p>
    <w:p w:rsidR="000F3B38" w:rsidRPr="000F3B38" w:rsidRDefault="000F3B38" w:rsidP="000F3B38">
      <w:pPr>
        <w:spacing w:after="0" w:line="252" w:lineRule="exac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3B38" w:rsidRPr="000F3B38" w:rsidRDefault="000F3B38" w:rsidP="000F3B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проводится в виде конспектирования, собеседования, выполнения </w:t>
      </w:r>
      <w:proofErr w:type="gram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целью этих видов самостоятельной работы является улучшение профессиональной подготовки будущих специалистов, направленное на формирование действенной системы фундаментальных и профессиональных знаний, умений и навыков, которые они могли бы свободно и самостоятельно применять в практической деятельности по Направлению подготовки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организации самостоятельной работы решаются следующие задачи: углублять и расширять их профессиональные знания; формировать у них интерес к учебно-познавательной деятельности; научить студентов овладевать приемами процесса познания; развивать у них самостоятельность, активность, ответственность; развивать познавательные способности будущих </w:t>
      </w:r>
    </w:p>
    <w:p w:rsidR="000F3B38" w:rsidRPr="000F3B38" w:rsidRDefault="000F3B38" w:rsidP="000F3B38">
      <w:pPr>
        <w:widowControl w:val="0"/>
        <w:numPr>
          <w:ilvl w:val="1"/>
          <w:numId w:val="2"/>
        </w:numPr>
        <w:tabs>
          <w:tab w:val="left" w:pos="-5670"/>
        </w:tabs>
        <w:autoSpaceDE w:val="0"/>
        <w:autoSpaceDN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организации самостоятельной работы при подготовке к практическим занятиям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к каждому практическому занятию студент должен начать с ознакомления с планом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На основе индивидуальных предпочтений студенту необходимо самостоятельно выбрать тему доклада по проблеме занятия и по возможности подготовить по нему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презентацию. В случае выполнения практического задания, 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практического занятия, его выступлении и участии в коллективном обсуждении вопросов изучаемой темы, правильном выполнении вопросов и заданий.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содержания и количества отведенного времени на изучение каждой темы практическое занятие может состоять из четырех-пяти частей: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Обсуждение теоретических вопросов, определенных рабочей программой дисциплины.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Доклад и/ или выступление с презентациями по проблеме семинара.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Обсуждение выступлений по теме – дискуссия.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методическим рекомендациями для практических занятий. </w:t>
      </w:r>
    </w:p>
    <w:p w:rsidR="000F3B38" w:rsidRPr="000F3B38" w:rsidRDefault="000F3B38" w:rsidP="000F3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1.3. Структура практического занятия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</w:t>
      </w: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 минут.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– выступление студентов с докладами, которые должны сопровождаться презентациями с целью усиления наглядности восприятия, по одному из вопросов занятия. Обязательный элемент – представление и анализ полученных данных, обоснование последствий любого факта, явления или процесса. Примерная продолжительность – 20-25 минут.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докладов следует их обсуждение – дискуссия. В ходе этого этапа занятия могут быть заданы уточняющие вопросы к докладчикам. Примерная продолжительность – до 15-20 минут.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замет идет обсуждение результатов.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практическое задание должно было быть выполнено дома, то на занятии преподаватель проверяет его выполнение (устно или письменно). Примерная продолжительность – 15-20 минут.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Подведением итогов заканчивается практическое занятие. Студентам должны быть объявлены оценки за работу и даны их четкие обоснования. Примерная продолжительность – 5 минут.</w:t>
      </w:r>
    </w:p>
    <w:p w:rsidR="000F3B38" w:rsidRPr="000F3B38" w:rsidRDefault="000F3B38" w:rsidP="000F3B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письменных работ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самостоятельную работу студента входит: освоение теоретического материала и сведений, полученных в ходе лекционного курса; изучение трудов отечественных и зарубежных авторов по данной проблематике, проведение прикладного исследования, подготовка и составление прогнозно-аналитического проекта или заключения, написания реферата по выбранной теме. На самостоятельную работу отводится 45 часов. </w:t>
      </w:r>
    </w:p>
    <w:p w:rsidR="000F3B38" w:rsidRPr="000F3B38" w:rsidRDefault="000F3B38" w:rsidP="000F3B38">
      <w:pPr>
        <w:widowControl w:val="0"/>
        <w:numPr>
          <w:ilvl w:val="1"/>
          <w:numId w:val="2"/>
        </w:numPr>
        <w:autoSpaceDE w:val="0"/>
        <w:autoSpaceDN w:val="0"/>
        <w:spacing w:before="100" w:beforeAutospacing="1" w:after="100" w:afterAutospacing="1" w:line="252" w:lineRule="exact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написанию реферата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реферата (по сравнению с курсовой работой):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содержит развернутых доказательств, сравнений, рассуждений, оценок,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дает ответ на вопрос, что нового, существенного содержится в тексте.</w:t>
      </w:r>
    </w:p>
    <w:p w:rsidR="000F3B38" w:rsidRPr="000F3B38" w:rsidRDefault="000F3B38" w:rsidP="000F3B3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B38" w:rsidRPr="000F3B38" w:rsidRDefault="000F3B38" w:rsidP="000F3B3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рефератов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793"/>
      </w:tblGrid>
      <w:tr w:rsidR="000F3B38" w:rsidRPr="000F3B38" w:rsidTr="00342F1C">
        <w:trPr>
          <w:tblCellSpacing w:w="7" w:type="dxa"/>
          <w:jc w:val="center"/>
        </w:trPr>
        <w:tc>
          <w:tcPr>
            <w:tcW w:w="3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полноте изложения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Информативные (рефераты-конспекты).</w:t>
            </w:r>
          </w:p>
        </w:tc>
      </w:tr>
      <w:tr w:rsidR="000F3B38" w:rsidRPr="000F3B38" w:rsidTr="00342F1C">
        <w:trPr>
          <w:tblCellSpacing w:w="7" w:type="dxa"/>
          <w:jc w:val="center"/>
        </w:trPr>
        <w:tc>
          <w:tcPr>
            <w:tcW w:w="3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(рефераты-резюме).</w:t>
            </w:r>
          </w:p>
        </w:tc>
      </w:tr>
      <w:tr w:rsidR="000F3B38" w:rsidRPr="000F3B38" w:rsidTr="00342F1C">
        <w:trPr>
          <w:tblCellSpacing w:w="7" w:type="dxa"/>
          <w:jc w:val="center"/>
        </w:trPr>
        <w:tc>
          <w:tcPr>
            <w:tcW w:w="3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реферируемых источников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Монографические.</w:t>
            </w:r>
          </w:p>
        </w:tc>
      </w:tr>
      <w:tr w:rsidR="000F3B38" w:rsidRPr="000F3B38" w:rsidTr="00342F1C">
        <w:trPr>
          <w:tblCellSpacing w:w="7" w:type="dxa"/>
          <w:jc w:val="center"/>
        </w:trPr>
        <w:tc>
          <w:tcPr>
            <w:tcW w:w="3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38" w:rsidRPr="000F3B38" w:rsidRDefault="000F3B38" w:rsidP="000F3B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Обзорные.</w:t>
            </w:r>
          </w:p>
        </w:tc>
      </w:tr>
    </w:tbl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реферата: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титульный лист; 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работы с указанием страниц каждого вопроса,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подвопроса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(пункта);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введение;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текстовое изложение материала, разбитое на вопросы и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подвопросы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(пункты, подпункты) с необходимыми ссылками на источники, использованные автором;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заключение;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список использованной литературы;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Приложения располагаются последовательно, согласно заголовкам, отражающим их содержание.</w:t>
      </w:r>
    </w:p>
    <w:p w:rsidR="000F3B38" w:rsidRPr="000F3B38" w:rsidRDefault="000F3B38" w:rsidP="000F3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написанию реферата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текста: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актуальность темы исследования; б) 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интеграционных); в) умение работать с исследованиями, критической литературой, систематизировать и структурировать материал; г) </w:t>
      </w:r>
      <w:proofErr w:type="spell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явленность</w:t>
      </w:r>
      <w:proofErr w:type="spell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позиции, самостоятельность оценок и суждений; д) стилевое единство текста, единство жанровых черт. </w:t>
      </w:r>
      <w:proofErr w:type="gramEnd"/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Степень раскрытия сущности вопроса: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Обоснованность выбора источников: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оценка использованной литературы: привлечены ли наиболее известные работы по теме исследования (в </w:t>
      </w:r>
      <w:proofErr w:type="spell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журнальные публикации последних лет, последние статистические данные, сводки, справки и т.д.). </w:t>
      </w:r>
    </w:p>
    <w:p w:rsidR="000F3B38" w:rsidRPr="000F3B38" w:rsidRDefault="000F3B38" w:rsidP="000F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Соблюдение требований к оформлению: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насколько верно оформлены ссылки на используемую литературу, список литературы; б) оценка грамотности и культуры изложения (в </w:t>
      </w:r>
      <w:proofErr w:type="spellStart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орфографической, пунктуационной, стилистической культуры), владение терминологией; в) соблюдение требований к объёму реферата. </w:t>
      </w:r>
      <w:r w:rsidRPr="000F3B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устного выступления дается 10-20 минут. </w:t>
      </w:r>
    </w:p>
    <w:p w:rsidR="000F3B38" w:rsidRPr="000F3B38" w:rsidRDefault="000F3B38" w:rsidP="000F3B3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Критерий оценки 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5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 </w:t>
      </w:r>
    </w:p>
    <w:p w:rsidR="000F3B38" w:rsidRPr="000F3B38" w:rsidRDefault="000F3B38" w:rsidP="000F3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4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</w:t>
      </w:r>
    </w:p>
    <w:p w:rsidR="000F3B38" w:rsidRPr="000F3B38" w:rsidRDefault="000F3B38" w:rsidP="000F3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3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 </w:t>
      </w:r>
    </w:p>
    <w:p w:rsidR="000F3B38" w:rsidRPr="000F3B38" w:rsidRDefault="000F3B38" w:rsidP="000F3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2 </w:t>
      </w:r>
      <w:r w:rsidRPr="000F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тема реферата не раскрыта, обнаруживается существенное непонимание проблемы. </w:t>
      </w:r>
    </w:p>
    <w:p w:rsidR="000F3B38" w:rsidRPr="000F3B38" w:rsidRDefault="000F3B38" w:rsidP="000F3B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написанию эссе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"эссе" пришло в русский язык </w:t>
      </w: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и исторически восходит к латинскому слову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exagium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(взвешивание). </w:t>
      </w: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Французское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еззаi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буквально перевести словами опыт, проба, попытка, набросок, очерк.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нею связанные".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признаки эссе:</w:t>
      </w:r>
    </w:p>
    <w:p w:rsidR="000F3B38" w:rsidRPr="000F3B38" w:rsidRDefault="000F3B38" w:rsidP="000F3B38">
      <w:pPr>
        <w:widowControl w:val="0"/>
        <w:numPr>
          <w:ilvl w:val="0"/>
          <w:numId w:val="3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0F3B38" w:rsidRPr="000F3B38" w:rsidRDefault="000F3B38" w:rsidP="000F3B38">
      <w:pPr>
        <w:widowControl w:val="0"/>
        <w:numPr>
          <w:ilvl w:val="0"/>
          <w:numId w:val="3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0F3B38" w:rsidRPr="000F3B38" w:rsidRDefault="000F3B38" w:rsidP="000F3B38">
      <w:pPr>
        <w:widowControl w:val="0"/>
        <w:numPr>
          <w:ilvl w:val="0"/>
          <w:numId w:val="3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0F3B38" w:rsidRPr="000F3B38" w:rsidRDefault="000F3B38" w:rsidP="000F3B38">
      <w:pPr>
        <w:widowControl w:val="0"/>
        <w:numPr>
          <w:ilvl w:val="0"/>
          <w:numId w:val="3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написание эссе.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план эссе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эссе определяется предъявляемыми к нему требованиями:</w:t>
      </w:r>
    </w:p>
    <w:p w:rsidR="000F3B38" w:rsidRPr="000F3B38" w:rsidRDefault="000F3B38" w:rsidP="000F3B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автора эссе по проблеме излагаются в форме кратких тезисов (Т).</w:t>
      </w:r>
    </w:p>
    <w:p w:rsidR="000F3B38" w:rsidRPr="000F3B38" w:rsidRDefault="000F3B38" w:rsidP="000F3B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должна быть подкреплена доказательствами - поэтому за тезисом следуют аргументы (А).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Аргументы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0F3B38" w:rsidRPr="000F3B38" w:rsidRDefault="000F3B38" w:rsidP="000F3B38">
      <w:pPr>
        <w:widowControl w:val="0"/>
        <w:numPr>
          <w:ilvl w:val="0"/>
          <w:numId w:val="5"/>
        </w:numPr>
        <w:shd w:val="clear" w:color="auto" w:fill="FFFFFF"/>
        <w:tabs>
          <w:tab w:val="left" w:pos="-4962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</w:t>
      </w:r>
    </w:p>
    <w:p w:rsidR="000F3B38" w:rsidRPr="000F3B38" w:rsidRDefault="000F3B38" w:rsidP="000F3B38">
      <w:pPr>
        <w:widowControl w:val="0"/>
        <w:numPr>
          <w:ilvl w:val="0"/>
          <w:numId w:val="5"/>
        </w:numPr>
        <w:shd w:val="clear" w:color="auto" w:fill="FFFFFF"/>
        <w:tabs>
          <w:tab w:val="left" w:pos="-4962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тезис, аргументы</w:t>
      </w:r>
    </w:p>
    <w:p w:rsidR="000F3B38" w:rsidRPr="000F3B38" w:rsidRDefault="000F3B38" w:rsidP="000F3B38">
      <w:pPr>
        <w:widowControl w:val="0"/>
        <w:numPr>
          <w:ilvl w:val="0"/>
          <w:numId w:val="5"/>
        </w:numPr>
        <w:shd w:val="clear" w:color="auto" w:fill="FFFFFF"/>
        <w:tabs>
          <w:tab w:val="left" w:pos="-4962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тезис, аргументы</w:t>
      </w:r>
    </w:p>
    <w:p w:rsidR="000F3B38" w:rsidRPr="000F3B38" w:rsidRDefault="000F3B38" w:rsidP="000F3B38">
      <w:pPr>
        <w:widowControl w:val="0"/>
        <w:numPr>
          <w:ilvl w:val="0"/>
          <w:numId w:val="5"/>
        </w:numPr>
        <w:shd w:val="clear" w:color="auto" w:fill="FFFFFF"/>
        <w:tabs>
          <w:tab w:val="left" w:pos="-4962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тезис, аргументы</w:t>
      </w:r>
    </w:p>
    <w:p w:rsidR="000F3B38" w:rsidRPr="000F3B38" w:rsidRDefault="000F3B38" w:rsidP="000F3B38">
      <w:pPr>
        <w:widowControl w:val="0"/>
        <w:numPr>
          <w:ilvl w:val="0"/>
          <w:numId w:val="5"/>
        </w:numPr>
        <w:shd w:val="clear" w:color="auto" w:fill="FFFFFF"/>
        <w:tabs>
          <w:tab w:val="left" w:pos="-4962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написании эссе важно также учитывать следующие моменты:</w:t>
      </w:r>
    </w:p>
    <w:p w:rsidR="000F3B38" w:rsidRPr="000F3B38" w:rsidRDefault="000F3B38" w:rsidP="000F3B38">
      <w:pPr>
        <w:widowControl w:val="0"/>
        <w:numPr>
          <w:ilvl w:val="0"/>
          <w:numId w:val="6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и заключение должны фокусировать внимание на проблеме (во 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вступлении она ставится, в заключении - резюмируется мнение автора).</w:t>
      </w:r>
    </w:p>
    <w:p w:rsidR="000F3B38" w:rsidRPr="000F3B38" w:rsidRDefault="000F3B38" w:rsidP="000F3B38">
      <w:pPr>
        <w:widowControl w:val="0"/>
        <w:numPr>
          <w:ilvl w:val="0"/>
          <w:numId w:val="6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0F3B38" w:rsidRPr="000F3B38" w:rsidRDefault="000F3B38" w:rsidP="000F3B38">
      <w:pPr>
        <w:widowControl w:val="0"/>
        <w:numPr>
          <w:ilvl w:val="0"/>
          <w:numId w:val="6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изложения: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</w:t>
      </w: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 эссе:</w:t>
      </w:r>
    </w:p>
    <w:p w:rsidR="000F3B38" w:rsidRPr="000F3B38" w:rsidRDefault="000F3B38" w:rsidP="000F3B3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описательные,</w:t>
      </w:r>
    </w:p>
    <w:p w:rsidR="000F3B38" w:rsidRPr="000F3B38" w:rsidRDefault="000F3B38" w:rsidP="000F3B3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повествовательные,</w:t>
      </w:r>
    </w:p>
    <w:p w:rsidR="000F3B38" w:rsidRPr="000F3B38" w:rsidRDefault="000F3B38" w:rsidP="000F3B3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рефлексивные,</w:t>
      </w:r>
    </w:p>
    <w:p w:rsidR="000F3B38" w:rsidRPr="000F3B38" w:rsidRDefault="000F3B38" w:rsidP="000F3B3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критические,</w:t>
      </w:r>
    </w:p>
    <w:p w:rsidR="000F3B38" w:rsidRPr="000F3B38" w:rsidRDefault="000F3B38" w:rsidP="000F3B3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и др.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 основу положены композиционные особенности произведения, выполненного в жанре эссе.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предложена классификация эссе на две большие группы:</w:t>
      </w:r>
    </w:p>
    <w:p w:rsidR="000F3B38" w:rsidRPr="000F3B38" w:rsidRDefault="000F3B38" w:rsidP="000F3B38">
      <w:pPr>
        <w:widowControl w:val="0"/>
        <w:numPr>
          <w:ilvl w:val="0"/>
          <w:numId w:val="12"/>
        </w:numPr>
        <w:shd w:val="clear" w:color="auto" w:fill="FFFFFF"/>
        <w:tabs>
          <w:tab w:val="left" w:pos="-5670"/>
        </w:tabs>
        <w:autoSpaceDE w:val="0"/>
        <w:autoSpaceDN w:val="0"/>
        <w:spacing w:after="0" w:line="25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0F3B38" w:rsidRPr="000F3B38" w:rsidRDefault="000F3B38" w:rsidP="000F3B38">
      <w:pPr>
        <w:widowControl w:val="0"/>
        <w:numPr>
          <w:ilvl w:val="0"/>
          <w:numId w:val="12"/>
        </w:numPr>
        <w:shd w:val="clear" w:color="auto" w:fill="FFFFFF"/>
        <w:tabs>
          <w:tab w:val="left" w:pos="-5670"/>
        </w:tabs>
        <w:autoSpaceDE w:val="0"/>
        <w:autoSpaceDN w:val="0"/>
        <w:spacing w:after="0" w:line="25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объективное, где личностное начало подчинено предмету описания или какой-то идее.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некоторые общие признаки (особенности) жанра, которые обычно перечисляются в энциклопедиях и словарях: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Небольшой объем.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жестких границ, конечно, не существует. Объем эссе - от трех до семи страниц компьютерного текста. 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Конкретная тема и подчеркнуто субъективная ее трактовка.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эссе всегда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Свободная композиция - важная особенность эссе.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отмечают, что эссе по своей природе устроено так, что не терпит никаких формальных рамок. Оно нередко строится вопреки законам логики, подчиняется произвольным ассоциациям, руководствуется принципом "Всё наоборот".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Непринужденность повествования.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эссе важно установить доверительный стиль общения с читателем; чтобы быть понятым, он избегает намеренно усложненных, неясных, излишне строгих построений. Исследователи отмечают, что хорошее эссе может написать только тот, кто свободно владеет темой, видит ее с различных сторон и готов предъявить читателю не исчерпывающий, но многоаспектный взгляд на явление, ставшее отправной точкой его размышлений.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Склонность к парадоксам.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призвано удивить читателя (слушателя) - это, по мнению многих исследователей, его обязательное качество. Отправной точкой для размышлений, воплощенных в эссе, нередко является афористическое, яркое высказывание или парадоксальное определение, буквально сталкивающее на первый взгляд бесспорные, но взаимоисключающие друг друга утверждения, характеристики, тезисы.</w:t>
      </w: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 смысловое единство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numPr>
          <w:ilvl w:val="0"/>
          <w:numId w:val="7"/>
        </w:numPr>
        <w:shd w:val="clear" w:color="auto" w:fill="FFFFFF"/>
        <w:tabs>
          <w:tab w:val="left" w:pos="-5670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Ориентация на разговорную речь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при написании эссе важно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(уяснить) его тему, определить желаемый объем и цели каждого параграфа.</w:t>
      </w:r>
    </w:p>
    <w:p w:rsidR="000F3B38" w:rsidRPr="000F3B38" w:rsidRDefault="000F3B38" w:rsidP="000F3B38">
      <w:pPr>
        <w:shd w:val="clear" w:color="auto" w:fill="FFFFFF"/>
        <w:tabs>
          <w:tab w:val="left" w:pos="-567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написания эссе</w:t>
      </w:r>
    </w:p>
    <w:p w:rsidR="000F3B38" w:rsidRPr="000F3B38" w:rsidRDefault="000F3B38" w:rsidP="000F3B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формальных правил написания эссе можно назвать только одно - наличие заголовка.</w:t>
      </w:r>
    </w:p>
    <w:p w:rsidR="000F3B38" w:rsidRPr="000F3B38" w:rsidRDefault="000F3B38" w:rsidP="000F3B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0F3B38" w:rsidRPr="000F3B38" w:rsidRDefault="000F3B38" w:rsidP="000F3B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0F3B38" w:rsidRPr="000F3B38" w:rsidRDefault="000F3B38" w:rsidP="000F3B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реферата, который адресован любому читателю, поэтому начинается с "Я хочу рассказать о...", а заканчивается "Я пришел к следующим выводам...", </w:t>
      </w:r>
      <w:r w:rsidRPr="000F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эссе - это </w:t>
      </w:r>
      <w:r w:rsidRPr="000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реплика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адресованная подготовленному читателю (слушателю).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 при написании эссе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тестов, эссе не предполагают формата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multiple-choice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вам на выбор предлагается несколько вариантов ответа). Написание эссе не ограничено по времени, вы можете переписывать его много раз, попросить друзей прочитать ваше эссе. Воспользуйтесь всеми возможностями и постарайтесь избежать распространенных ошибок.</w:t>
      </w:r>
    </w:p>
    <w:p w:rsidR="000F3B38" w:rsidRPr="000F3B38" w:rsidRDefault="000F3B38" w:rsidP="000F3B3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Плохая проверка.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Утомительные предисловия. Недостаточное количество деталей.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0F3B38" w:rsidRPr="000F3B38" w:rsidRDefault="000F3B38" w:rsidP="000F3B3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Многословие.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0F3B38" w:rsidRPr="000F3B38" w:rsidRDefault="000F3B38" w:rsidP="000F3B3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Длинные фразы.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</w:t>
      </w: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M (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medium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L (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S - менее 10 слов, M - менее 20 слов, L - 20 и более слов.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эссе имеет следующий или похожий порядок букв - M S M L M S.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эссе характеризует такая последовательность букв - S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 L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8" w:rsidRPr="000F3B38" w:rsidRDefault="000F3B38" w:rsidP="000F3B3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перегружайте эссе.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Избежав подобных распространенных ошибок, вы сможете заинтересовать экспертную комиссию (работодателя) своим опытом.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эссе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при написании эссе имеет проверка первой его версии. При написании черновика ваша главная задача заключается в том, чтобы выработать аргументацию, отшлифовать основные мысли и расположить их в строгой последовательности, сопровождая их иллюстративными материалами или вспомогательными данными и т.д. Написав первый вариант, дайте ему день или два отлежаться, а затем вернитесь к работе по проверке и улучшению, на "свежую голову".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эссе, прежде всего, обратите внимание наследующие важные моменты: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важно помнить, что </w:t>
      </w:r>
      <w:r w:rsidRPr="000F3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 - жанр субъективный</w:t>
      </w: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и оценка его может быть субъективной. Не стоит ориентироваться на всю массу работодателей.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данные: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на какой вопрос вы отвечаете, вам нужно достичь определенных целей. От вас ожидают того, что при написании эссе вы будете иметь в виду следующее: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ли я на заданный вопрос?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понятно и точно я изложил свои мысли?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общения / письменной речи.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предназначены также для того, чтобы проверить ваше умение излагать мысли на бумаге и ваши навыки письма. Плохо написанное (представленное) эссе не будет способствовать тому, чтобы вас приняли в бизнес.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реального человека.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важно следующее - быть честными, искренними, неповторимыми, т. е. быть самими собой!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эссе элемент личного, неповторимого, уникального.</w:t>
      </w:r>
      <w:proofErr w:type="gramEnd"/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эссе сразу станут более интересными и притягивающими внимание. Они помогут выделиться среди сотен других претендентов.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"Эссе должно быть как можно более персонализированным. Скучно читать эссе, которые изобилуют общими фразами - это пустая трата времени. Все равно ничего не поймешь о личности данного кандидата".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вы напишете в эссе, необходимо подтверждать примерами, делать ссылки на свой опыт. Детали сделают ваши эссе интересными, уникальными, специфичными.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 / Неповторимость / Что-то интересное, смешное.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выпускников беспокоит то, смогут ли они произвести нужное впечатление, поэтому они убирают из эссе все, что делает их выдающимися. Столь безопасные, с точки зрения выпускников, эссе довольно утомительно читать".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использовать все имеющиеся в распоряжении средства, чтобы ваши эссе запомнились.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лучше, если в эссе вы отразите истинное положение вещей. В то же время не акцентируйте внимание на своих недостатках, хотя они и присутствуют в вашем характере. Надо быть честным, но позитивным. Отзывайтесь о себе и своих качествах только положительно! Так называемые "слабые стороны" следует презентовать следующим образом: "раньше это было моим недостатком, теперь же превратилось в положительное качество".</w:t>
      </w:r>
    </w:p>
    <w:p w:rsidR="000F3B38" w:rsidRPr="000F3B38" w:rsidRDefault="000F3B38" w:rsidP="000F3B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произведение.</w:t>
      </w:r>
    </w:p>
    <w:p w:rsidR="000F3B38" w:rsidRPr="000F3B38" w:rsidRDefault="000F3B38" w:rsidP="000F3B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8">
        <w:rPr>
          <w:rFonts w:ascii="Times New Roman" w:eastAsia="Times New Roman" w:hAnsi="Times New Roman" w:cs="Times New Roman"/>
          <w:sz w:val="24"/>
          <w:szCs w:val="24"/>
          <w:lang w:eastAsia="ru-RU"/>
        </w:rPr>
        <w:t>"Убедитесь в том, что ваше эссе легко читать. Уделите ему еще немного времени: проверьте, последовательны ли ваши мысли, ведут ли они к логическому завершению темы".</w:t>
      </w:r>
    </w:p>
    <w:p w:rsidR="000F3B38" w:rsidRPr="000F3B38" w:rsidRDefault="000F3B38" w:rsidP="000F3B38">
      <w:pPr>
        <w:widowControl w:val="0"/>
        <w:autoSpaceDE w:val="0"/>
        <w:autoSpaceDN w:val="0"/>
        <w:spacing w:after="0" w:line="240" w:lineRule="auto"/>
        <w:ind w:right="657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77" w:rsidRDefault="000F3B38"/>
    <w:sectPr w:rsidR="002C4677">
      <w:pgSz w:w="11910" w:h="16840"/>
      <w:pgMar w:top="1060" w:right="711" w:bottom="960" w:left="1480" w:header="0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466"/>
    <w:multiLevelType w:val="multilevel"/>
    <w:tmpl w:val="138F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6C2CD6"/>
    <w:multiLevelType w:val="multilevel"/>
    <w:tmpl w:val="1B6C2C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9D428B9"/>
    <w:multiLevelType w:val="multilevel"/>
    <w:tmpl w:val="39D428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0D44017"/>
    <w:multiLevelType w:val="multilevel"/>
    <w:tmpl w:val="40D44017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4B2"/>
    <w:multiLevelType w:val="multilevel"/>
    <w:tmpl w:val="44CD24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D8F1C2B"/>
    <w:multiLevelType w:val="hybridMultilevel"/>
    <w:tmpl w:val="8284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10120"/>
    <w:multiLevelType w:val="multilevel"/>
    <w:tmpl w:val="5A1101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3044B"/>
    <w:multiLevelType w:val="multilevel"/>
    <w:tmpl w:val="5C6304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711D1"/>
    <w:multiLevelType w:val="multilevel"/>
    <w:tmpl w:val="709711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7623E22"/>
    <w:multiLevelType w:val="multilevel"/>
    <w:tmpl w:val="77623E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A49C5"/>
    <w:multiLevelType w:val="multilevel"/>
    <w:tmpl w:val="77CA49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EBE09F9"/>
    <w:multiLevelType w:val="multilevel"/>
    <w:tmpl w:val="70144E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8"/>
    <w:rsid w:val="000F3B38"/>
    <w:rsid w:val="003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2022-12-17T06:01:00Z</dcterms:created>
  <dcterms:modified xsi:type="dcterms:W3CDTF">2022-12-17T06:03:00Z</dcterms:modified>
</cp:coreProperties>
</file>