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94C" w:rsidRDefault="009A376A">
      <w:pPr>
        <w:widowControl w:val="0"/>
        <w:pBdr>
          <w:top w:val="nil"/>
          <w:left w:val="nil"/>
          <w:bottom w:val="nil"/>
          <w:right w:val="nil"/>
          <w:between w:val="nil"/>
        </w:pBdr>
        <w:spacing w:after="0"/>
        <w:rPr>
          <w:rFonts w:ascii="Arial" w:eastAsia="Arial" w:hAnsi="Arial" w:cs="Arial"/>
        </w:rPr>
      </w:pPr>
      <w:r>
        <w:rPr>
          <w:rFonts w:ascii="Arial" w:eastAsia="Arial" w:hAnsi="Arial" w:cs="Arial"/>
        </w:rPr>
        <w:t xml:space="preserve"> </w:t>
      </w:r>
    </w:p>
    <w:p w:rsidR="00E4594C" w:rsidRDefault="00E4594C">
      <w:pPr>
        <w:widowControl w:val="0"/>
        <w:pBdr>
          <w:top w:val="nil"/>
          <w:left w:val="nil"/>
          <w:bottom w:val="nil"/>
          <w:right w:val="nil"/>
          <w:between w:val="nil"/>
        </w:pBdr>
        <w:spacing w:after="0"/>
        <w:rPr>
          <w:rFonts w:ascii="Arial" w:eastAsia="Arial" w:hAnsi="Arial" w:cs="Arial"/>
        </w:rPr>
      </w:pPr>
    </w:p>
    <w:p w:rsidR="00E4594C" w:rsidRDefault="009A376A">
      <w:pPr>
        <w:widowControl w:val="0"/>
        <w:pBdr>
          <w:top w:val="nil"/>
          <w:left w:val="nil"/>
          <w:bottom w:val="nil"/>
          <w:right w:val="nil"/>
          <w:between w:val="nil"/>
        </w:pBdr>
        <w:spacing w:after="0"/>
        <w:jc w:val="center"/>
        <w:rPr>
          <w:rFonts w:ascii="Arial" w:eastAsia="Arial" w:hAnsi="Arial" w:cs="Arial"/>
          <w:b/>
        </w:rPr>
      </w:pPr>
      <w:r>
        <w:rPr>
          <w:rFonts w:ascii="Arial" w:eastAsia="Arial" w:hAnsi="Arial" w:cs="Arial"/>
          <w:b/>
        </w:rPr>
        <w:t>“Ош Мамлекеттик университетинин 2023-2026-жылдарга туруктуу өнүгүү модели” стратегиялык программасынын негизинде ОшМУнун Эл аралык билим берүү программалары колледжинин Иш-планы</w:t>
      </w:r>
    </w:p>
    <w:p w:rsidR="00E4594C" w:rsidRDefault="00E4594C">
      <w:pPr>
        <w:widowControl w:val="0"/>
        <w:pBdr>
          <w:top w:val="nil"/>
          <w:left w:val="nil"/>
          <w:bottom w:val="nil"/>
          <w:right w:val="nil"/>
          <w:between w:val="nil"/>
        </w:pBdr>
        <w:spacing w:after="0"/>
        <w:rPr>
          <w:rFonts w:ascii="Arial" w:eastAsia="Arial" w:hAnsi="Arial" w:cs="Arial"/>
        </w:rPr>
      </w:pPr>
    </w:p>
    <w:p w:rsidR="00E4594C" w:rsidRDefault="00E4594C">
      <w:pPr>
        <w:widowControl w:val="0"/>
        <w:pBdr>
          <w:top w:val="nil"/>
          <w:left w:val="nil"/>
          <w:bottom w:val="nil"/>
          <w:right w:val="nil"/>
          <w:between w:val="nil"/>
        </w:pBdr>
        <w:spacing w:after="0"/>
        <w:rPr>
          <w:rFonts w:ascii="Arial" w:eastAsia="Arial" w:hAnsi="Arial" w:cs="Arial"/>
        </w:rPr>
      </w:pPr>
    </w:p>
    <w:tbl>
      <w:tblPr>
        <w:tblStyle w:val="a5"/>
        <w:tblW w:w="148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3525"/>
        <w:gridCol w:w="3840"/>
        <w:gridCol w:w="1815"/>
        <w:gridCol w:w="3570"/>
        <w:gridCol w:w="1410"/>
      </w:tblGrid>
      <w:tr w:rsidR="00E4594C">
        <w:tc>
          <w:tcPr>
            <w:tcW w:w="675" w:type="dxa"/>
          </w:tcPr>
          <w:p w:rsidR="00E4594C" w:rsidRDefault="00E4594C"/>
        </w:tc>
        <w:tc>
          <w:tcPr>
            <w:tcW w:w="3525" w:type="dxa"/>
          </w:tcPr>
          <w:p w:rsidR="00E4594C" w:rsidRDefault="009A376A">
            <w:pPr>
              <w:rPr>
                <w:b/>
              </w:rPr>
            </w:pPr>
            <w:r>
              <w:rPr>
                <w:b/>
              </w:rPr>
              <w:t>Иш-чаранын аталышы</w:t>
            </w:r>
          </w:p>
        </w:tc>
        <w:tc>
          <w:tcPr>
            <w:tcW w:w="3840" w:type="dxa"/>
          </w:tcPr>
          <w:p w:rsidR="00E4594C" w:rsidRDefault="009A376A">
            <w:pPr>
              <w:rPr>
                <w:b/>
              </w:rPr>
            </w:pPr>
            <w:r>
              <w:rPr>
                <w:b/>
              </w:rPr>
              <w:t>Аткарылуучу иштер</w:t>
            </w:r>
          </w:p>
        </w:tc>
        <w:tc>
          <w:tcPr>
            <w:tcW w:w="1815" w:type="dxa"/>
          </w:tcPr>
          <w:p w:rsidR="00E4594C" w:rsidRDefault="009A376A">
            <w:pPr>
              <w:rPr>
                <w:b/>
              </w:rPr>
            </w:pPr>
            <w:r>
              <w:rPr>
                <w:b/>
              </w:rPr>
              <w:t>Мөөнөөтү</w:t>
            </w:r>
          </w:p>
        </w:tc>
        <w:tc>
          <w:tcPr>
            <w:tcW w:w="3570" w:type="dxa"/>
          </w:tcPr>
          <w:p w:rsidR="00E4594C" w:rsidRDefault="009A376A">
            <w:pPr>
              <w:rPr>
                <w:b/>
              </w:rPr>
            </w:pPr>
            <w:r>
              <w:rPr>
                <w:b/>
              </w:rPr>
              <w:t>Күтүлүүчү жыйынтык</w:t>
            </w:r>
          </w:p>
        </w:tc>
        <w:tc>
          <w:tcPr>
            <w:tcW w:w="1410" w:type="dxa"/>
          </w:tcPr>
          <w:p w:rsidR="00E4594C" w:rsidRDefault="009A376A">
            <w:pPr>
              <w:rPr>
                <w:b/>
              </w:rPr>
            </w:pPr>
            <w:r>
              <w:rPr>
                <w:b/>
              </w:rPr>
              <w:t>Жооптуу</w:t>
            </w:r>
          </w:p>
        </w:tc>
      </w:tr>
      <w:tr w:rsidR="00E4594C">
        <w:tc>
          <w:tcPr>
            <w:tcW w:w="675" w:type="dxa"/>
          </w:tcPr>
          <w:p w:rsidR="00E4594C" w:rsidRDefault="009A376A">
            <w:r>
              <w:t>1</w:t>
            </w:r>
          </w:p>
        </w:tc>
        <w:tc>
          <w:tcPr>
            <w:tcW w:w="3525" w:type="dxa"/>
          </w:tcPr>
          <w:p w:rsidR="00E4594C" w:rsidRDefault="009A376A">
            <w:r>
              <w:t xml:space="preserve">Кызматкерлердин билимин, көндүмдөрүн өнүктүрүү, карьералык өсүүсүн шарттаган ырааттулук  түзүмүн түзүү. </w:t>
            </w:r>
          </w:p>
        </w:tc>
        <w:tc>
          <w:tcPr>
            <w:tcW w:w="3840" w:type="dxa"/>
          </w:tcPr>
          <w:p w:rsidR="00E4594C" w:rsidRDefault="009A376A">
            <w:r>
              <w:t>Коллеждин кызматкерлерин, анын ичинде жаңыдан ишин баштаган кызматкерлерге заман чакырыктарына дал келген көндүмдөрү калыптандыруу боюнча окутууларды ырааттуу уюштурулушун жолго коюу. Окутуулардын  алган көндүмдөрүн иш учурунда колдонулушу боюнча мониторинг жүрүгүзүп баруу. Жүргүзүлгөн мониторинг боюнча алдыңкы жылдарга карата ар бир кызматкердин жеке калыптануусун, өсүүсүн  камтыган жол картасын иштеп чыгуу. Алган көндүмдөрүн, билимдерин өз учурунда коллеждин билим берүү жараянында пайдалануу жана алган тажырыйбасына карап карералык өсүүсүн камсыздап, коллеждин   өнүгүүсүнө багыттоо.</w:t>
            </w:r>
          </w:p>
        </w:tc>
        <w:tc>
          <w:tcPr>
            <w:tcW w:w="1815" w:type="dxa"/>
          </w:tcPr>
          <w:p w:rsidR="00E4594C" w:rsidRDefault="009A376A">
            <w:r>
              <w:t>2023-2026</w:t>
            </w:r>
          </w:p>
        </w:tc>
        <w:tc>
          <w:tcPr>
            <w:tcW w:w="3570" w:type="dxa"/>
          </w:tcPr>
          <w:p w:rsidR="00E4594C" w:rsidRDefault="009A376A">
            <w:r>
              <w:t xml:space="preserve">Жыл сайын коллеждин 30% дан  кем эмес кызматкерлерин эмгек базарында пайда болгон жаңы көндүмдөргө ээ болуусуна окутуулардын натыйжасында жетишилет. Кызматкерлердин жана алар тарабынан билим алган студенттердин эмгек базарында талап кылынып жаткан компетенцияларга ээ болуусун шартайт. Окутуучунун көндүмдөргө ээ болуусуна карата жүрүзүлгөн мониторинг, алардын алдыңкы жылдарга туура багытта өзүн өзү өнүктүрүүсүн шарттайт. Колежде кесипкөй чөйрөнү түзүү. </w:t>
            </w:r>
          </w:p>
        </w:tc>
        <w:tc>
          <w:tcPr>
            <w:tcW w:w="1410" w:type="dxa"/>
          </w:tcPr>
          <w:p w:rsidR="00E4594C" w:rsidRDefault="009A376A">
            <w:r>
              <w:t>Директор</w:t>
            </w:r>
          </w:p>
          <w:p w:rsidR="00E4594C" w:rsidRDefault="009A376A">
            <w:r>
              <w:t>Бөлүм башчылар, ПЦК башчылар</w:t>
            </w:r>
          </w:p>
        </w:tc>
      </w:tr>
      <w:tr w:rsidR="00E4594C">
        <w:tc>
          <w:tcPr>
            <w:tcW w:w="675" w:type="dxa"/>
          </w:tcPr>
          <w:p w:rsidR="00E4594C" w:rsidRDefault="009A376A">
            <w:r>
              <w:t>2</w:t>
            </w:r>
          </w:p>
        </w:tc>
        <w:tc>
          <w:tcPr>
            <w:tcW w:w="3525" w:type="dxa"/>
          </w:tcPr>
          <w:p w:rsidR="00E4594C" w:rsidRDefault="009A376A">
            <w:r>
              <w:t>Изилдөөлөрдү, ойлоп табууларды колдоо жана аларды өндүрүш менен байланыштыруу.</w:t>
            </w:r>
          </w:p>
          <w:p w:rsidR="00E4594C" w:rsidRDefault="009A376A">
            <w:r>
              <w:t>Чет өлкөлүк жана Ата-Мекендик долбоорлор аркылуу инвецтиция тартуу.</w:t>
            </w:r>
          </w:p>
        </w:tc>
        <w:tc>
          <w:tcPr>
            <w:tcW w:w="3840" w:type="dxa"/>
          </w:tcPr>
          <w:p w:rsidR="00E4594C" w:rsidRDefault="009A376A">
            <w:r>
              <w:t xml:space="preserve">Коллеждин кызматкерлерине, университетте илимий-изилдөө үчүн түзүлгөн инфраструктурасын натыйжалуу пайдалануусуна  шарт түзүү. Кызматкерлердин изилдөө иштерине илимий-методикалык, каржылык жактан (университетте </w:t>
            </w:r>
            <w:r>
              <w:lastRenderedPageBreak/>
              <w:t>түзүлгөн фондордон, стартап- долбоорлордон каржы булактарын тартууга көмөктөшүү аркылуу ж.б.) колдоо. Илимий изилдөө иштерин жүргүзүп жаткан кызматкерге жумуш жараянына ыңгайлуу шарттарды түзүү. Кызматкерлерге тармактар боюнча долбоор жазуу боюнча окутууларды ар дайым уюштуруп өткөрүү. Ички жана эл аралык илимий долбоорлорго катышуусуна шарттарды түзүп берүү.</w:t>
            </w:r>
          </w:p>
        </w:tc>
        <w:tc>
          <w:tcPr>
            <w:tcW w:w="1815" w:type="dxa"/>
          </w:tcPr>
          <w:p w:rsidR="00E4594C" w:rsidRDefault="009A376A">
            <w:r>
              <w:lastRenderedPageBreak/>
              <w:t>2023-2026</w:t>
            </w:r>
          </w:p>
        </w:tc>
        <w:tc>
          <w:tcPr>
            <w:tcW w:w="3570" w:type="dxa"/>
          </w:tcPr>
          <w:p w:rsidR="00E4594C" w:rsidRDefault="009A376A">
            <w:r>
              <w:t xml:space="preserve">2023-жылы -1, 2024-жылы-3, 2025-жылы -4, 2026-жылы -6дан кем эмес биргелешкен долбоорлорду ишке ашырылат.  </w:t>
            </w:r>
          </w:p>
          <w:p w:rsidR="00E4594C" w:rsidRDefault="009A376A">
            <w:r>
              <w:t xml:space="preserve">Жыл сайын 50 % кем эмес студенттерге Стартап боюнча кеңири маалыматка ээ болуусуна </w:t>
            </w:r>
            <w:r>
              <w:lastRenderedPageBreak/>
              <w:t>жетишилет. Окутуучулук курамда иш жараянына паралелдүү түрдө илимий изилдөө, ойлоп табуучулук  мүмүкүнчүлүктөрүн пайдалана алуусуна мүмкүнчүлүк түзүлөт. Долбоорлорго катышуунун алкагында өткөрүүлүүчү окутуулардан кошумча билимге жана көндүмдөргө ээ болуусун шарттайт. Кошумча каржылык булактар пайда болот.</w:t>
            </w:r>
          </w:p>
        </w:tc>
        <w:tc>
          <w:tcPr>
            <w:tcW w:w="1410" w:type="dxa"/>
          </w:tcPr>
          <w:p w:rsidR="00E4594C" w:rsidRDefault="009A376A">
            <w:r>
              <w:lastRenderedPageBreak/>
              <w:t>Директор, окуу иштери боюнча директордун орун басары</w:t>
            </w:r>
          </w:p>
        </w:tc>
      </w:tr>
      <w:tr w:rsidR="00E4594C">
        <w:tc>
          <w:tcPr>
            <w:tcW w:w="675" w:type="dxa"/>
          </w:tcPr>
          <w:p w:rsidR="00E4594C" w:rsidRDefault="009A376A">
            <w:r>
              <w:lastRenderedPageBreak/>
              <w:t>3</w:t>
            </w:r>
          </w:p>
        </w:tc>
        <w:tc>
          <w:tcPr>
            <w:tcW w:w="3525" w:type="dxa"/>
          </w:tcPr>
          <w:p w:rsidR="00E4594C" w:rsidRDefault="009A376A">
            <w:r>
              <w:t>Бүтүрүүчүлөрдүн эмгек базарына болгон шайкештигин аныктоо, алардын эмгек базарына дал келген көндүмдөргө ээ болуусун шарттоочу кадамдар.</w:t>
            </w:r>
          </w:p>
        </w:tc>
        <w:tc>
          <w:tcPr>
            <w:tcW w:w="3840" w:type="dxa"/>
          </w:tcPr>
          <w:p w:rsidR="00E4594C" w:rsidRDefault="009A376A">
            <w:r>
              <w:t>Коллеждин бүтүрүүчүлөрү менен анкетирлөө жүргүзүү. Бүтүрүүчүлөрдүн иш менен камсыз болуусуна тынымсыз мониторинг жүргүзүү. Иш берүүчүлөрдун сунушунун негизинде окуу программаларына өз учурунда өзгөртүүлөрдү киргизүү. Иш берүүчүлөр менен анын ичинде чет өлкөлүк иш берүүчүлөр менен байланыш түзүү жана өркүндөтүү.</w:t>
            </w:r>
          </w:p>
        </w:tc>
        <w:tc>
          <w:tcPr>
            <w:tcW w:w="1815" w:type="dxa"/>
          </w:tcPr>
          <w:p w:rsidR="00E4594C" w:rsidRDefault="009A376A">
            <w:r>
              <w:t>2024-2026</w:t>
            </w:r>
          </w:p>
        </w:tc>
        <w:tc>
          <w:tcPr>
            <w:tcW w:w="3570" w:type="dxa"/>
          </w:tcPr>
          <w:p w:rsidR="00E4594C" w:rsidRDefault="009A376A">
            <w:r>
              <w:t>Бүтүрүүчүлөрдүн (Бакалаврда окуусун улантбаган студенттер) иш менен камсыздоо көрөткүчүн 2023-жылы 50 %, 2024-жылы 60%, 2025-жылы 70%, 2026-жылы 80% пайыздан кем эмес деңгээлге жетет. Эмгек базарына жүргүзүлгөн мониторнг базар талаптарына шайкеш келген бүтүрүүчүлөрдү даярдоону шарттайт. Иш берүүчүлөрдүн суроо-талап, сунуштарынын канааттандырылышы алар менен болгон карым-катнаш алакаларын чыңдайт жана окуу жайдын имиджине оң таасирин тийгизет.</w:t>
            </w:r>
          </w:p>
          <w:p w:rsidR="00E4594C" w:rsidRDefault="009A376A">
            <w:r>
              <w:t>Чет өлкөлүк иш берүүчүлөр менен жыл сайын 2 кем эмес келишимдерди түзүүгө жетишилет.</w:t>
            </w:r>
          </w:p>
        </w:tc>
        <w:tc>
          <w:tcPr>
            <w:tcW w:w="1410" w:type="dxa"/>
          </w:tcPr>
          <w:p w:rsidR="00E4594C" w:rsidRDefault="009A376A">
            <w:r>
              <w:t>Директор, Бүтүрүүчүлөр менен иштеген жооптуу кызматкер</w:t>
            </w:r>
          </w:p>
        </w:tc>
      </w:tr>
      <w:tr w:rsidR="00E4594C">
        <w:tc>
          <w:tcPr>
            <w:tcW w:w="675" w:type="dxa"/>
          </w:tcPr>
          <w:p w:rsidR="00E4594C" w:rsidRDefault="009A376A">
            <w:r>
              <w:t>4</w:t>
            </w:r>
          </w:p>
        </w:tc>
        <w:tc>
          <w:tcPr>
            <w:tcW w:w="3525" w:type="dxa"/>
          </w:tcPr>
          <w:p w:rsidR="00E4594C" w:rsidRDefault="009A376A">
            <w:r>
              <w:t xml:space="preserve">Коллежде окутуу жараянында, кызмат көрсөтүүлөрүндө санариптик, инновациялык </w:t>
            </w:r>
            <w:r>
              <w:lastRenderedPageBreak/>
              <w:t>технологияны колдонууну жайылтуу</w:t>
            </w:r>
          </w:p>
        </w:tc>
        <w:tc>
          <w:tcPr>
            <w:tcW w:w="3840" w:type="dxa"/>
          </w:tcPr>
          <w:p w:rsidR="00E4594C" w:rsidRDefault="009A376A">
            <w:r>
              <w:lastRenderedPageBreak/>
              <w:t xml:space="preserve">Университетте колдонууга киргизгизген санариптик кызмат көрсөтүү боюнча саясатын өз </w:t>
            </w:r>
            <w:r>
              <w:lastRenderedPageBreak/>
              <w:t>учурунда коллежде ишке ашыруусун камсыздоо. Материалдык-техникалык жактан тийиштүү деңгээлде камсыздоо. Кызматкерлерди инновациялык технологияларды пайдаланып кызмат көрсөтүүгө даярдоо. Окутуучуларды технологиянын мүмкүнчүлүктөрүн окутууда пайдаланышын жана тийиштүү материалдык-техникалык жабдыктар менен жабдылышын  камсыздоо. Студенттерге университет тарабынан бирдиктүү колдонууга киргизилген электрондук программаларды, приложениялады ж.б.у.с. өз убагында өздөштүрүүсүн жана кеңири пайдалануусун камсыздоо (окутууларды, шыктандыруучу конкурстарды уюштуруу).</w:t>
            </w:r>
          </w:p>
          <w:p w:rsidR="00E4594C" w:rsidRDefault="00E4594C"/>
        </w:tc>
        <w:tc>
          <w:tcPr>
            <w:tcW w:w="1815" w:type="dxa"/>
          </w:tcPr>
          <w:p w:rsidR="00E4594C" w:rsidRDefault="009A376A">
            <w:r>
              <w:lastRenderedPageBreak/>
              <w:t>2023-2026</w:t>
            </w:r>
          </w:p>
        </w:tc>
        <w:tc>
          <w:tcPr>
            <w:tcW w:w="3570" w:type="dxa"/>
          </w:tcPr>
          <w:p w:rsidR="00E4594C" w:rsidRDefault="009A376A">
            <w:r>
              <w:t xml:space="preserve">Кызмат көрсөтүүлөр сапаты жогорулайт. Кызмат көсөтүүлөргө карата элдин жакшы пикирин 85 % </w:t>
            </w:r>
            <w:r>
              <w:lastRenderedPageBreak/>
              <w:t>кем эмес деңгээлге жеткирүү. Кызмат көсөтүүлөрдө жана окутууда коррупциялык  тобокелдиктер азаят. Студенттердин жана окутуучулардын убактысын үнөмдүү пайдалануусун шарттайт.</w:t>
            </w:r>
          </w:p>
        </w:tc>
        <w:tc>
          <w:tcPr>
            <w:tcW w:w="1410" w:type="dxa"/>
          </w:tcPr>
          <w:p w:rsidR="00E4594C" w:rsidRDefault="009A376A">
            <w:r>
              <w:lastRenderedPageBreak/>
              <w:t>Директор</w:t>
            </w:r>
          </w:p>
        </w:tc>
      </w:tr>
      <w:tr w:rsidR="00E4594C">
        <w:tc>
          <w:tcPr>
            <w:tcW w:w="675" w:type="dxa"/>
          </w:tcPr>
          <w:p w:rsidR="00E4594C" w:rsidRDefault="009A376A">
            <w:r>
              <w:lastRenderedPageBreak/>
              <w:t>5</w:t>
            </w:r>
          </w:p>
        </w:tc>
        <w:tc>
          <w:tcPr>
            <w:tcW w:w="3525" w:type="dxa"/>
          </w:tcPr>
          <w:p w:rsidR="00E4594C" w:rsidRDefault="009A376A">
            <w:r>
              <w:t xml:space="preserve">Ыктыярчылык </w:t>
            </w:r>
          </w:p>
        </w:tc>
        <w:tc>
          <w:tcPr>
            <w:tcW w:w="3840" w:type="dxa"/>
          </w:tcPr>
          <w:p w:rsidR="00E4594C" w:rsidRDefault="009A376A">
            <w:r>
              <w:t xml:space="preserve">Студенттер арасында ыктыярчылыкты жолго коюу жана өркүндөтүү боюнча иш түзүмүн жолго коюу. Ыктыячылардын ишин жолго койгон Жобону түзүп бекитүү. </w:t>
            </w:r>
          </w:p>
        </w:tc>
        <w:tc>
          <w:tcPr>
            <w:tcW w:w="1815" w:type="dxa"/>
          </w:tcPr>
          <w:p w:rsidR="00E4594C" w:rsidRDefault="009A376A">
            <w:r>
              <w:t>2024-2026</w:t>
            </w:r>
          </w:p>
        </w:tc>
        <w:tc>
          <w:tcPr>
            <w:tcW w:w="3570" w:type="dxa"/>
          </w:tcPr>
          <w:p w:rsidR="00E4594C" w:rsidRDefault="009A376A">
            <w:r>
              <w:t>Студенттердин ыктыярчылык кызматтарын аткаруусу менен кошумча көндүмдөргө, баарлашуунун коммуникацияларына ээ болушат. Мекеме ишканаларга ишке жумушка орношуп калуу мүмкмүнчүлүгү кеңейет. Жыл сайын ыктыярчылардын саны жалпы коллеждин студенттеринин санынын 10% кем эмес деңгээлде кармалат.</w:t>
            </w:r>
          </w:p>
        </w:tc>
        <w:tc>
          <w:tcPr>
            <w:tcW w:w="1410" w:type="dxa"/>
          </w:tcPr>
          <w:p w:rsidR="00E4594C" w:rsidRDefault="009A376A">
            <w:r>
              <w:t>Тарбия иштери боюнча директордун орун басары, Практика башчылары</w:t>
            </w:r>
          </w:p>
        </w:tc>
      </w:tr>
      <w:tr w:rsidR="00E4594C">
        <w:tc>
          <w:tcPr>
            <w:tcW w:w="675" w:type="dxa"/>
          </w:tcPr>
          <w:p w:rsidR="00E4594C" w:rsidRDefault="009A376A">
            <w:r>
              <w:lastRenderedPageBreak/>
              <w:t>6</w:t>
            </w:r>
          </w:p>
        </w:tc>
        <w:tc>
          <w:tcPr>
            <w:tcW w:w="3525" w:type="dxa"/>
          </w:tcPr>
          <w:p w:rsidR="00E4594C" w:rsidRDefault="009A376A">
            <w:r>
              <w:t>Бүтүрүүчүлөр ассоциацисы жана бүтүрүүчүлөрдүн жумуш менен камсыз болушу</w:t>
            </w:r>
          </w:p>
        </w:tc>
        <w:tc>
          <w:tcPr>
            <w:tcW w:w="3840" w:type="dxa"/>
          </w:tcPr>
          <w:p w:rsidR="00E4594C" w:rsidRDefault="009A376A">
            <w:r>
              <w:t>Бүтүрүүчүлөр ассоциасын түзүү. Алар менен жолугушууларды</w:t>
            </w:r>
          </w:p>
          <w:p w:rsidR="00E4594C" w:rsidRDefault="009A376A">
            <w:bookmarkStart w:id="0" w:name="_gjdgxs" w:colFirst="0" w:colLast="0"/>
            <w:bookmarkEnd w:id="0"/>
            <w:r>
              <w:t>Коллежде бүтүрүүчүлөр ассоциасынын кабинетин ачуу жана бул тармакка жооптууларга иш жүргүзүүсүнө тийиштүү шарттарды жаратып берүү. Бүтүрүүчүлөрдүн жетишкендиктерин, тажырыйбасын студенттерге бөлүшүү боюнча иш-чараларды уюштуруп өткөрүү. Келечекте бүтүрүүчүлөрдү коллед ждин өнүгүүсүн шарттаган долбоорлорду каржылык тараптан колдоочу негизги катмарга айланттуу боюнча комплекстүү аракттерди жүргүзүү. Бүтүрүүчүлөрдү иш менен камсыздоо боюнча Эмгек министрлигинин аймактык бөлүмдөрү менен бош орундар жарманкелерин биргелешип өткөрүү. Бүтүрүүчүлөргө жумуш издөө жолдорду боюнча маалымдуулугун жогорулатуу.</w:t>
            </w:r>
          </w:p>
        </w:tc>
        <w:tc>
          <w:tcPr>
            <w:tcW w:w="1815" w:type="dxa"/>
          </w:tcPr>
          <w:p w:rsidR="00E4594C" w:rsidRDefault="009A376A">
            <w:r>
              <w:t>2023-2026</w:t>
            </w:r>
          </w:p>
        </w:tc>
        <w:tc>
          <w:tcPr>
            <w:tcW w:w="3570" w:type="dxa"/>
          </w:tcPr>
          <w:p w:rsidR="00E4594C" w:rsidRDefault="009A376A">
            <w:r>
              <w:t xml:space="preserve">2023-жылы бүтүрүүчүлөрдүн жалпы санын такталат жана байланыш түзүлөт. </w:t>
            </w:r>
          </w:p>
          <w:p w:rsidR="00E4594C" w:rsidRDefault="009A376A">
            <w:r>
              <w:t>2023-жылы бүтүрүүчүлөр ассоциасынын кабинети ачылат. 2026-жылы коллежде өткөрүлгөн иш-чараларга кеткен каражаттын 20%  кем эмес бөлүгүн   бүтүрүүчүлөр тарабынан  каржылоого жетишилет.</w:t>
            </w:r>
          </w:p>
        </w:tc>
        <w:tc>
          <w:tcPr>
            <w:tcW w:w="1410" w:type="dxa"/>
          </w:tcPr>
          <w:p w:rsidR="00E4594C" w:rsidRDefault="009A376A">
            <w:r>
              <w:t>Директор, Бөлүм башчылар</w:t>
            </w:r>
          </w:p>
        </w:tc>
      </w:tr>
      <w:tr w:rsidR="00E4594C">
        <w:tc>
          <w:tcPr>
            <w:tcW w:w="675" w:type="dxa"/>
          </w:tcPr>
          <w:p w:rsidR="00E4594C" w:rsidRDefault="00E4594C"/>
        </w:tc>
        <w:tc>
          <w:tcPr>
            <w:tcW w:w="3525" w:type="dxa"/>
          </w:tcPr>
          <w:p w:rsidR="00E4594C" w:rsidRDefault="009A376A">
            <w:r>
              <w:t>Академиялык мобилдүүлүк</w:t>
            </w:r>
          </w:p>
        </w:tc>
        <w:tc>
          <w:tcPr>
            <w:tcW w:w="3840" w:type="dxa"/>
          </w:tcPr>
          <w:p w:rsidR="00E4594C" w:rsidRDefault="009A376A">
            <w:r>
              <w:t xml:space="preserve">Коллежде университеттин мобилдүүлүк программасынын алкагында ички жана тышкы мобилдүүлүктү өркүндөтүү. Программага катышкан студентердин сунуштарын, каалоолорун эмгек жамаатта ачык талкуулоо жана жетишкен тарабын коллеждин иш аракеттерине айкалыштыруу. Мобилдүүлүк программасынын алкагында окуудан сырткары </w:t>
            </w:r>
            <w:r>
              <w:lastRenderedPageBreak/>
              <w:t>спорттук, маданий иш аракеттерди күчөтүү.</w:t>
            </w:r>
          </w:p>
        </w:tc>
        <w:tc>
          <w:tcPr>
            <w:tcW w:w="1815" w:type="dxa"/>
          </w:tcPr>
          <w:p w:rsidR="00E4594C" w:rsidRDefault="009A376A">
            <w:r>
              <w:lastRenderedPageBreak/>
              <w:t>2023-2026</w:t>
            </w:r>
          </w:p>
        </w:tc>
        <w:tc>
          <w:tcPr>
            <w:tcW w:w="3570" w:type="dxa"/>
          </w:tcPr>
          <w:p w:rsidR="00E4594C" w:rsidRDefault="009A376A">
            <w:r>
              <w:t xml:space="preserve">Башка окуу жайлардагы жетишкендиктерди коллеждин иш жараянына кийирүүгө өбөлгө түзөт. Студенттердин өз алдынчалуугу артат. </w:t>
            </w:r>
          </w:p>
          <w:p w:rsidR="00E4594C" w:rsidRDefault="009A376A">
            <w:r>
              <w:t>2022-2023-жылы 40- студент, 5 окутуучу</w:t>
            </w:r>
          </w:p>
          <w:p w:rsidR="00E4594C" w:rsidRDefault="009A376A">
            <w:r>
              <w:t>2023-2024-жылы 60 студент, 10 окуттуучу</w:t>
            </w:r>
          </w:p>
          <w:p w:rsidR="00E4594C" w:rsidRDefault="009A376A">
            <w:r>
              <w:t>2024-2025- жылы 80 студент, 15 окутуучу</w:t>
            </w:r>
          </w:p>
          <w:p w:rsidR="00E4594C" w:rsidRDefault="009A376A">
            <w:r>
              <w:lastRenderedPageBreak/>
              <w:t>2025-2026- жылы 100 студент, 20 окутуучу академиялык мобилдүүлүк программасына алкагында прежтиждүү окуу жайларга катышуусу камсыздалат.</w:t>
            </w:r>
          </w:p>
        </w:tc>
        <w:tc>
          <w:tcPr>
            <w:tcW w:w="1410" w:type="dxa"/>
          </w:tcPr>
          <w:p w:rsidR="00E4594C" w:rsidRDefault="009A376A">
            <w:r>
              <w:lastRenderedPageBreak/>
              <w:t>Директор, Тийиштүү жооптуу кызматкер</w:t>
            </w:r>
          </w:p>
        </w:tc>
      </w:tr>
    </w:tbl>
    <w:p w:rsidR="00E4594C" w:rsidRDefault="00E4594C"/>
    <w:p w:rsidR="00E4594C" w:rsidRDefault="003266E6">
      <w:r>
        <w:rPr>
          <w:noProof/>
          <w:lang w:val="ru-RU"/>
        </w:rPr>
        <w:drawing>
          <wp:anchor distT="0" distB="0" distL="114300" distR="114300" simplePos="0" relativeHeight="251658240" behindDoc="1" locked="0" layoutInCell="1" allowOverlap="1" wp14:anchorId="1B830ED0" wp14:editId="0DDBF5B7">
            <wp:simplePos x="0" y="0"/>
            <wp:positionH relativeFrom="column">
              <wp:posOffset>4051935</wp:posOffset>
            </wp:positionH>
            <wp:positionV relativeFrom="paragraph">
              <wp:posOffset>223520</wp:posOffset>
            </wp:positionV>
            <wp:extent cx="1019175" cy="421640"/>
            <wp:effectExtent l="0" t="0" r="9525" b="0"/>
            <wp:wrapTight wrapText="bothSides">
              <wp:wrapPolygon edited="0">
                <wp:start x="0" y="0"/>
                <wp:lineTo x="0" y="20494"/>
                <wp:lineTo x="21398" y="20494"/>
                <wp:lineTo x="21398"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9175" cy="421640"/>
                    </a:xfrm>
                    <a:prstGeom prst="rect">
                      <a:avLst/>
                    </a:prstGeom>
                  </pic:spPr>
                </pic:pic>
              </a:graphicData>
            </a:graphic>
            <wp14:sizeRelH relativeFrom="margin">
              <wp14:pctWidth>0</wp14:pctWidth>
            </wp14:sizeRelH>
            <wp14:sizeRelV relativeFrom="margin">
              <wp14:pctHeight>0</wp14:pctHeight>
            </wp14:sizeRelV>
          </wp:anchor>
        </w:drawing>
      </w:r>
      <w:r w:rsidR="009A376A">
        <w:t xml:space="preserve"> </w:t>
      </w:r>
    </w:p>
    <w:p w:rsidR="00E4594C" w:rsidRDefault="009A376A">
      <w:pPr>
        <w:jc w:val="center"/>
        <w:rPr>
          <w:b/>
        </w:rPr>
      </w:pPr>
      <w:r>
        <w:rPr>
          <w:b/>
        </w:rPr>
        <w:t>Директор:                                                                                                                                                     К. Рамашов</w:t>
      </w:r>
      <w:bookmarkStart w:id="1" w:name="_GoBack"/>
      <w:bookmarkEnd w:id="1"/>
    </w:p>
    <w:sectPr w:rsidR="00E4594C">
      <w:pgSz w:w="16838" w:h="11906" w:orient="landscape"/>
      <w:pgMar w:top="1701" w:right="1134" w:bottom="85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4C"/>
    <w:rsid w:val="003266E6"/>
    <w:rsid w:val="00655C54"/>
    <w:rsid w:val="009A376A"/>
    <w:rsid w:val="00E4594C"/>
    <w:rsid w:val="00EA4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926AC-6B69-46FB-BC3D-1257962D8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1099</Words>
  <Characters>6270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2023-03-09T07:59:00Z</dcterms:created>
  <dcterms:modified xsi:type="dcterms:W3CDTF">2023-03-09T07:59:00Z</dcterms:modified>
</cp:coreProperties>
</file>