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2" w:rsidRDefault="00B6683E" w:rsidP="00D369AA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B6683E">
        <w:rPr>
          <w:rFonts w:ascii="Times New Roman" w:hAnsi="Times New Roman" w:cs="Times New Roman"/>
          <w:b/>
          <w:sz w:val="28"/>
          <w:szCs w:val="28"/>
          <w:lang w:val="ky-KG"/>
        </w:rPr>
        <w:t>ФЮКта студенттердин билим сапатын текшерүү боюнча СРЕЗ алынды</w:t>
      </w:r>
    </w:p>
    <w:p w:rsidR="00B6683E" w:rsidRDefault="00B6683E" w:rsidP="009E312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2022-жылдын 14-мартында  ФЮКтун директору э.и.к. Н.Ж. Исаковдун тапшырмасы менен жана ОМКнын иш-планына ылайык 2-3-курстардын студенттеринен кесиптик дисциплиналардан  билим сапатын текшерүү бюнча СРЕЗ алынды.  ФЮКтун ОМК төрайымы </w:t>
      </w:r>
      <w:r w:rsidR="00821C6F">
        <w:rPr>
          <w:rFonts w:ascii="Times New Roman" w:hAnsi="Times New Roman" w:cs="Times New Roman"/>
          <w:sz w:val="28"/>
          <w:szCs w:val="28"/>
          <w:lang w:val="ky-KG"/>
        </w:rPr>
        <w:t xml:space="preserve"> э.и.к. Ж.К.Райимбердиева, тиешелүү бөлүм башчылары, ПЦК төрайымдары</w:t>
      </w:r>
      <w:r w:rsidR="00C902D4">
        <w:rPr>
          <w:rFonts w:ascii="Times New Roman" w:hAnsi="Times New Roman" w:cs="Times New Roman"/>
          <w:sz w:val="28"/>
          <w:szCs w:val="28"/>
          <w:lang w:val="ky-KG"/>
        </w:rPr>
        <w:t>, окутуучулар</w:t>
      </w:r>
      <w:r w:rsidR="00821C6F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="00821C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ОшМУнун </w:t>
      </w:r>
      <w:r w:rsidR="009E3127">
        <w:rPr>
          <w:rFonts w:ascii="Times New Roman" w:hAnsi="Times New Roman" w:cs="Times New Roman"/>
          <w:sz w:val="28"/>
          <w:szCs w:val="28"/>
          <w:lang w:val="ky-KG"/>
        </w:rPr>
        <w:t xml:space="preserve">ББС бөлүмүнүн ББПА секторунун башчысы соц. и.к. А.Б.Раимова, ББС бөлүмүнүн  улук инспектору Ш.О.Бакировалардын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катышуусунда жүргүзүлгөн билим сапатын текшерүү иш чарасы </w:t>
      </w:r>
      <w:r w:rsidR="00821C6F">
        <w:rPr>
          <w:rFonts w:ascii="Times New Roman" w:hAnsi="Times New Roman" w:cs="Times New Roman"/>
          <w:sz w:val="28"/>
          <w:szCs w:val="28"/>
          <w:lang w:val="ky-KG"/>
        </w:rPr>
        <w:t xml:space="preserve">күн аягында жыйынтыкталып, ОшМУнун  ББСБна тапшырылды. 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2410"/>
        <w:gridCol w:w="3119"/>
        <w:gridCol w:w="1134"/>
        <w:gridCol w:w="1134"/>
        <w:gridCol w:w="1105"/>
        <w:gridCol w:w="879"/>
        <w:gridCol w:w="1134"/>
        <w:gridCol w:w="851"/>
        <w:gridCol w:w="2126"/>
      </w:tblGrid>
      <w:tr w:rsidR="00C902D4" w:rsidTr="009C61DC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y-KG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тура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ky-KG"/>
              </w:rPr>
              <w:t>-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лыкб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y-KG"/>
              </w:rPr>
              <w:t>өлүктө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ky-KG"/>
              </w:rPr>
              <w:t>р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ББП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рофиль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Адистик</w:t>
            </w:r>
            <w:proofErr w:type="spellEnd"/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Тапшырмалар ББПнын кайсы ОНдорун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баалоого багытталып түзүлгөн?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(ББПнын ОНдору же ага тиешелүү дисциплиналар көрсөтүлөт)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аалоо каражат-тары 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(БК)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Курстар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Катышуу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Жетишүү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Эскертүү </w:t>
            </w:r>
          </w:p>
        </w:tc>
      </w:tr>
      <w:tr w:rsidR="00C902D4" w:rsidTr="009C61D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Курс б-ча с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туденттердин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y-K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саны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А. и. катыш-каны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C902D4" w:rsidRPr="005954CF" w:rsidTr="009C61DC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Абс. жетишүү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Сапаттык</w:t>
            </w:r>
          </w:p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C902D4" w:rsidTr="009C61DC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ФЮК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2D4" w:rsidRPr="0025360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080106  Финасы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Каржы, акча жүгүртүү жана кредит, ишканалардын (уюмдардын) экономикасы, экономикалык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4" w:rsidRPr="005954CF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5954CF"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  <w:p w:rsidR="00C902D4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 xml:space="preserve">77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74,3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4" w:rsidRPr="00524F9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lang w:val="ky-KG"/>
              </w:rPr>
              <w:t>Кээ бир тайпалар шартка байланыштуу катыша албай калышты (физкультура сабагында болгондор)</w:t>
            </w:r>
          </w:p>
        </w:tc>
      </w:tr>
      <w:tr w:rsidR="00C902D4" w:rsidTr="009C61DC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EC1A5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ОНга багытталган суроолор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5954CF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5954CF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  <w:p w:rsidR="00C902D4" w:rsidRPr="00EF4605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569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569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78,1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C902D4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3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4" w:rsidRPr="00D10ED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ФЮК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080108  Банк иши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Каржы, акча жүгүртүү жана кредит, ишканалардын (уюмдардын) экономикасы, экономикалык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5954CF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5954CF"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  <w:p w:rsidR="00C902D4" w:rsidRPr="005954CF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56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EC1A5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ОНга багытталган суроолор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5954CF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5954CF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569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 xml:space="preserve">  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 xml:space="preserve">  74,1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157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Pr="00D10ED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ФЮК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050305 Укук таануу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кесиптик предметтер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904E2"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316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ОНга багытталган суроолор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904E2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255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Pr="00D10ED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ФЮК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030505 Укук коргоо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кесиптик предметтер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904E2"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ОНга багытталган суроолор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3904E2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904E2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70,5</w:t>
            </w:r>
          </w:p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157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Pr="00D10ED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ФЮК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660F22">
              <w:rPr>
                <w:rFonts w:ascii="Times New Roman" w:hAnsi="Times New Roman" w:cs="Times New Roman"/>
              </w:rPr>
              <w:t xml:space="preserve">080110 </w:t>
            </w:r>
            <w:r>
              <w:rPr>
                <w:rFonts w:ascii="Times New Roman" w:hAnsi="Times New Roman" w:cs="Times New Roman"/>
                <w:lang w:val="ky-KG"/>
              </w:rPr>
              <w:t xml:space="preserve"> Экономика жана бухгалтердик эсеп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Экономика, </w:t>
            </w:r>
            <w:r w:rsidRPr="00F315E9">
              <w:rPr>
                <w:rFonts w:ascii="Times New Roman" w:hAnsi="Times New Roman" w:cs="Times New Roman"/>
                <w:lang w:val="ky-KG"/>
              </w:rPr>
              <w:t>Бухгалтердик эсептин негиздери</w:t>
            </w: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6A3AC9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6A3AC9"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Pr="00660F22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Экономика,Финансылык эсеп,ПОБУА,МСФО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ОНга багытталган суроолор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6A3AC9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6A3AC9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135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Pr="00D10ED7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ФЮК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D4" w:rsidRPr="00660F22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F22">
              <w:rPr>
                <w:rFonts w:ascii="Times New Roman" w:hAnsi="Times New Roman" w:cs="Times New Roman"/>
              </w:rPr>
              <w:t>080107</w:t>
            </w:r>
            <w:r>
              <w:rPr>
                <w:rFonts w:ascii="Times New Roman" w:hAnsi="Times New Roman" w:cs="Times New Roman"/>
                <w:lang w:val="ky-KG"/>
              </w:rPr>
              <w:t>Салык жана салык салуу</w:t>
            </w: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02D4" w:rsidRPr="00660F22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691B12">
              <w:rPr>
                <w:rFonts w:ascii="Times New Roman" w:hAnsi="Times New Roman" w:cs="Times New Roman"/>
                <w:lang w:val="ky-KG"/>
              </w:rPr>
              <w:t>Статистика,</w:t>
            </w:r>
            <w:r>
              <w:rPr>
                <w:rFonts w:ascii="Times New Roman" w:hAnsi="Times New Roman" w:cs="Times New Roman"/>
                <w:lang w:val="ky-KG"/>
              </w:rPr>
              <w:t xml:space="preserve"> ННО,НДПиЧП</w:t>
            </w:r>
          </w:p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6A3AC9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6A3AC9"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D4" w:rsidRPr="00660F22" w:rsidRDefault="00C902D4" w:rsidP="009C6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Статистика, Бухгалтердик эсептин негиздери,экономика,Салыктык текшерүү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ОНга багытталган суроолор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C902D4" w:rsidRPr="006A3AC9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6A3AC9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1569"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79156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791569">
              <w:rPr>
                <w:rFonts w:ascii="Times New Roman" w:hAnsi="Times New Roman" w:cs="Times New Roman"/>
                <w:color w:val="000000"/>
                <w:lang w:val="ky-KG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2D4" w:rsidTr="009C61DC">
        <w:trPr>
          <w:trHeight w:val="203"/>
        </w:trPr>
        <w:tc>
          <w:tcPr>
            <w:tcW w:w="7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Pr="00AC2FC7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C2FC7">
              <w:rPr>
                <w:rFonts w:ascii="Times New Roman" w:hAnsi="Times New Roman" w:cs="Times New Roman"/>
                <w:b/>
                <w:lang w:val="ky-KG"/>
              </w:rPr>
              <w:t>Жалпы көрсөткүч: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1260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6A3AC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y-KG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4" w:rsidRPr="006A3AC9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y-KG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4" w:rsidRDefault="00C902D4" w:rsidP="009C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02D4" w:rsidRDefault="00C902D4" w:rsidP="00C902D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</w:p>
    <w:p w:rsidR="00C902D4" w:rsidRDefault="00AF23AD" w:rsidP="00C902D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</w:t>
      </w:r>
      <w:r w:rsidR="00C902D4">
        <w:rPr>
          <w:rFonts w:ascii="Times New Roman" w:hAnsi="Times New Roman" w:cs="Times New Roman"/>
          <w:sz w:val="28"/>
          <w:szCs w:val="28"/>
          <w:lang w:val="ky-KG"/>
        </w:rPr>
        <w:t xml:space="preserve">Жыйынтыгында, </w:t>
      </w:r>
      <w:r w:rsidR="00C902D4" w:rsidRPr="00756D1D">
        <w:rPr>
          <w:rFonts w:ascii="Times New Roman" w:hAnsi="Times New Roman" w:cs="Times New Roman"/>
          <w:b/>
          <w:sz w:val="28"/>
          <w:szCs w:val="28"/>
          <w:lang w:val="ky-KG"/>
        </w:rPr>
        <w:t>80%</w:t>
      </w:r>
      <w:r w:rsidR="00C902D4">
        <w:rPr>
          <w:rFonts w:ascii="Times New Roman" w:hAnsi="Times New Roman" w:cs="Times New Roman"/>
          <w:sz w:val="28"/>
          <w:szCs w:val="28"/>
          <w:lang w:val="ky-KG"/>
        </w:rPr>
        <w:t xml:space="preserve"> абсолюттук көрсөткүчтү жана </w:t>
      </w:r>
      <w:r w:rsidR="00C902D4" w:rsidRPr="00756D1D">
        <w:rPr>
          <w:rFonts w:ascii="Times New Roman" w:hAnsi="Times New Roman" w:cs="Times New Roman"/>
          <w:b/>
          <w:sz w:val="28"/>
          <w:szCs w:val="28"/>
          <w:lang w:val="ky-KG"/>
        </w:rPr>
        <w:t>70%</w:t>
      </w:r>
      <w:r w:rsidR="00C902D4">
        <w:rPr>
          <w:rFonts w:ascii="Times New Roman" w:hAnsi="Times New Roman" w:cs="Times New Roman"/>
          <w:sz w:val="28"/>
          <w:szCs w:val="28"/>
          <w:lang w:val="ky-KG"/>
        </w:rPr>
        <w:t xml:space="preserve"> сапаттык көрсөткүч алынды. </w:t>
      </w:r>
      <w:r w:rsidR="00585250">
        <w:rPr>
          <w:rFonts w:ascii="Times New Roman" w:hAnsi="Times New Roman" w:cs="Times New Roman"/>
          <w:sz w:val="28"/>
          <w:szCs w:val="28"/>
          <w:lang w:val="ky-KG"/>
        </w:rPr>
        <w:t>Сапаттык көрсөткүчтү жогорулатуу боюнча иш-чаралардын планы иштелип чыкты.</w:t>
      </w:r>
    </w:p>
    <w:p w:rsidR="00C902D4" w:rsidRPr="00B6683E" w:rsidRDefault="00C902D4" w:rsidP="009E312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C902D4" w:rsidRPr="00B6683E" w:rsidSect="00C90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83E"/>
    <w:rsid w:val="000D6082"/>
    <w:rsid w:val="00137810"/>
    <w:rsid w:val="00585250"/>
    <w:rsid w:val="00713AFC"/>
    <w:rsid w:val="00756D1D"/>
    <w:rsid w:val="00821C6F"/>
    <w:rsid w:val="009E3127"/>
    <w:rsid w:val="00AF23AD"/>
    <w:rsid w:val="00B6683E"/>
    <w:rsid w:val="00C902D4"/>
    <w:rsid w:val="00D369AA"/>
    <w:rsid w:val="00ED3AEF"/>
    <w:rsid w:val="00FB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2023-03-27T03:23:00Z</dcterms:created>
  <dcterms:modified xsi:type="dcterms:W3CDTF">2023-03-27T10:55:00Z</dcterms:modified>
</cp:coreProperties>
</file>