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84" w:rsidRPr="003C33E6" w:rsidRDefault="00914484" w:rsidP="009144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proofErr w:type="spellStart"/>
      <w:r w:rsidRPr="003C33E6">
        <w:rPr>
          <w:rFonts w:ascii="Times New Roman" w:hAnsi="Times New Roman" w:cs="Times New Roman"/>
          <w:b/>
          <w:bCs/>
          <w:sz w:val="24"/>
          <w:szCs w:val="24"/>
        </w:rPr>
        <w:t>ОшМУнун</w:t>
      </w:r>
      <w:proofErr w:type="spellEnd"/>
      <w:r w:rsidRPr="003C3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33E6">
        <w:rPr>
          <w:rFonts w:ascii="Times New Roman" w:hAnsi="Times New Roman" w:cs="Times New Roman"/>
          <w:b/>
          <w:bCs/>
          <w:sz w:val="24"/>
          <w:szCs w:val="24"/>
        </w:rPr>
        <w:t>ББПларынын</w:t>
      </w:r>
      <w:proofErr w:type="spellEnd"/>
      <w:r w:rsidRPr="003C33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C33E6">
        <w:rPr>
          <w:rFonts w:ascii="Times New Roman" w:hAnsi="Times New Roman" w:cs="Times New Roman"/>
          <w:b/>
          <w:bCs/>
          <w:sz w:val="24"/>
          <w:szCs w:val="24"/>
          <w:lang w:val="ky-KG"/>
        </w:rPr>
        <w:t>бакалавриат</w:t>
      </w:r>
      <w:r w:rsidRPr="003C33E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C33E6">
        <w:rPr>
          <w:rFonts w:ascii="Times New Roman" w:hAnsi="Times New Roman" w:cs="Times New Roman"/>
          <w:b/>
          <w:bCs/>
          <w:sz w:val="24"/>
          <w:szCs w:val="24"/>
          <w:lang w:val="ky-KG"/>
        </w:rPr>
        <w:t>2-4 курстарынын билимин текшерүүнү</w:t>
      </w:r>
      <w:proofErr w:type="gramStart"/>
      <w:r w:rsidRPr="003C33E6">
        <w:rPr>
          <w:rFonts w:ascii="Times New Roman" w:hAnsi="Times New Roman" w:cs="Times New Roman"/>
          <w:b/>
          <w:bCs/>
          <w:sz w:val="24"/>
          <w:szCs w:val="24"/>
          <w:lang w:val="ky-KG"/>
        </w:rPr>
        <w:t>н</w:t>
      </w:r>
      <w:proofErr w:type="gramEnd"/>
      <w:r w:rsidRPr="003C33E6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натыйжалары</w:t>
      </w:r>
    </w:p>
    <w:p w:rsidR="00914484" w:rsidRDefault="00914484" w:rsidP="009144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1-таблица</w:t>
      </w:r>
    </w:p>
    <w:p w:rsidR="00914484" w:rsidRDefault="00914484" w:rsidP="00914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15735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330"/>
        <w:gridCol w:w="2293"/>
        <w:gridCol w:w="2731"/>
        <w:gridCol w:w="1239"/>
        <w:gridCol w:w="1045"/>
        <w:gridCol w:w="1643"/>
        <w:gridCol w:w="1083"/>
        <w:gridCol w:w="953"/>
        <w:gridCol w:w="1127"/>
        <w:gridCol w:w="1772"/>
      </w:tblGrid>
      <w:tr w:rsidR="009D44C6" w:rsidRPr="002E4E95" w:rsidTr="00FD244D">
        <w:trPr>
          <w:trHeight w:val="23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</w:t>
            </w:r>
            <w:proofErr w:type="spellEnd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-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</w:t>
            </w:r>
            <w:proofErr w:type="gramEnd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-</w:t>
            </w:r>
          </w:p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лык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өлүктө</w:t>
            </w:r>
            <w:proofErr w:type="gramStart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</w:t>
            </w:r>
            <w:proofErr w:type="gramEnd"/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ББП,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профиль/</w:t>
            </w:r>
          </w:p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Адистик</w:t>
            </w:r>
            <w:proofErr w:type="spellEnd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Тапшырмалар ББПнын кайсы ОНдорун</w:t>
            </w:r>
          </w:p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баалоого багытталып түзүлгөн?</w:t>
            </w:r>
          </w:p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(ББПнын ОНдору же ага тиешелүү дисциплиналар көрсөтүлөт)</w:t>
            </w:r>
          </w:p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аалоо каражат-тары </w:t>
            </w:r>
          </w:p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(БК)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Курстар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Катышуу 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Жетишүү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Эскертүү </w:t>
            </w:r>
          </w:p>
        </w:tc>
      </w:tr>
      <w:tr w:rsidR="009D44C6" w:rsidRPr="002E4E95" w:rsidTr="00FD244D">
        <w:trPr>
          <w:trHeight w:val="45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Курс б-ча с</w:t>
            </w:r>
            <w:proofErr w:type="spellStart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туденттердин</w:t>
            </w:r>
            <w:proofErr w:type="spellEnd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ж</w:t>
            </w:r>
            <w:proofErr w:type="spellStart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алпы</w:t>
            </w:r>
            <w:proofErr w:type="spellEnd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2E4E95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А. и. катыш-каны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2E4E95" w:rsidRPr="002E4E95" w:rsidTr="00FD244D">
        <w:trPr>
          <w:trHeight w:val="48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D81937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819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Жалпы 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84" w:rsidRPr="00D81937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819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</w:t>
            </w:r>
          </w:p>
          <w:p w:rsidR="00914484" w:rsidRPr="00D81937" w:rsidRDefault="00914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819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D36E5F" w:rsidRPr="002E4E95" w:rsidTr="00FD244D">
        <w:trPr>
          <w:trHeight w:val="20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ыргыз-кытай факультети, Кытай тили жана кытай таануу кафедрасы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532300 Кытай таануу  </w:t>
            </w:r>
          </w:p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Негизги чет тили (кытай тили)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Сынак, оозеки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21C93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21C93" w:rsidRPr="002E4E9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-курс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F" w:rsidRPr="002E4E95" w:rsidRDefault="00B62C5D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B62C5D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71,4%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C93" w:rsidRPr="002E4E95" w:rsidTr="00FD244D">
        <w:trPr>
          <w:trHeight w:val="20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3D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531100 Лингвистика (Котормо жана котормо таануу)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Бирин чет тилинин практикалык курсу (кытай тили)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Сынак, оозеки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21C93">
            <w:pPr>
              <w:jc w:val="center"/>
              <w:rPr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E4E9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-курс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A25F6F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93" w:rsidRPr="002E4E95" w:rsidRDefault="00A25F6F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96,8%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A25F6F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  <w:r w:rsidR="00215981"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C93" w:rsidRPr="002E4E95" w:rsidTr="00FD244D">
        <w:trPr>
          <w:trHeight w:val="20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B5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532300 Кытай таануу  </w:t>
            </w:r>
          </w:p>
          <w:p w:rsidR="00721C93" w:rsidRPr="002E4E95" w:rsidRDefault="00721C93" w:rsidP="00B5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Экинчи чет тили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Тестирлөө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21C93">
            <w:pPr>
              <w:jc w:val="center"/>
              <w:rPr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E4E9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-курс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082C92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082C92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082C92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082C92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57,1%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C93" w:rsidRPr="002E4E95" w:rsidTr="00FD244D">
        <w:trPr>
          <w:trHeight w:val="20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B5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531100 Лингвистика (Котормо жана котормо таануу)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4B6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кинчи чет тилинин практ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икалык курсу</w:t>
            </w:r>
          </w:p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Тестирлөө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21C93">
            <w:pPr>
              <w:jc w:val="center"/>
              <w:rPr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E4E9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-курс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082C92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082C92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082C92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082C92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79,1%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93" w:rsidRPr="002E4E95" w:rsidRDefault="00721C93" w:rsidP="00777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E5F" w:rsidRPr="002E4E95" w:rsidTr="00FD244D">
        <w:trPr>
          <w:trHeight w:val="203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081E11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531000 </w:t>
            </w:r>
            <w:r w:rsidR="00D36E5F"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</w:t>
            </w:r>
            <w:r w:rsidR="00082C92"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91128"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филологиялык дисциплиналарды окутуунун методикасы)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391128" w:rsidP="003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Бирин чет тилинин практикалык курсу 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</w:t>
            </w:r>
            <w:r w:rsidR="00700971"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тили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A06059" w:rsidP="00777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Тестирлөө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082C92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82C92" w:rsidRPr="002E4E9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-курс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00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9D44C6" w:rsidP="009D4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79,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%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F" w:rsidRPr="002E4E95" w:rsidRDefault="00D36E5F" w:rsidP="007770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4484" w:rsidRPr="0072473D" w:rsidRDefault="00914484" w:rsidP="00914484">
      <w:pPr>
        <w:tabs>
          <w:tab w:val="left" w:pos="5700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484" w:rsidRDefault="00914484" w:rsidP="00914484">
      <w:pPr>
        <w:tabs>
          <w:tab w:val="left" w:pos="5700"/>
        </w:tabs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2-таблица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93"/>
        <w:gridCol w:w="2132"/>
        <w:gridCol w:w="3498"/>
        <w:gridCol w:w="3343"/>
        <w:gridCol w:w="2516"/>
        <w:gridCol w:w="1956"/>
      </w:tblGrid>
      <w:tr w:rsidR="00620023" w:rsidRPr="002E4E95" w:rsidTr="00FA343A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лык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өлүктө</w:t>
            </w:r>
            <w:proofErr w:type="gramStart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ББП,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профиль/</w:t>
            </w:r>
          </w:p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Адистик</w:t>
            </w:r>
            <w:proofErr w:type="spellEnd"/>
          </w:p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 w:rsidP="00D81937">
            <w:pPr>
              <w:tabs>
                <w:tab w:val="left" w:pos="57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БКнын сапатына анализ</w:t>
            </w:r>
          </w:p>
          <w:p w:rsidR="00914484" w:rsidRPr="002E4E95" w:rsidRDefault="00914484" w:rsidP="00D81937">
            <w:pPr>
              <w:tabs>
                <w:tab w:val="left" w:pos="57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77707E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Ар бир к</w:t>
            </w:r>
            <w:r w:rsidR="00914484"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урс</w:t>
            </w: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="00914484"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боюнча студенттердин билиминдеги жетишпестиктер жөнүндө аналитикалык маалымат</w:t>
            </w:r>
          </w:p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84" w:rsidRPr="002E4E95" w:rsidRDefault="0077707E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Ар бир курс боюнча с</w:t>
            </w:r>
            <w:r w:rsidR="00914484"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туденттердин билиминдеги жетишпестиктерди жоюу боюнча сунуштар, кабыл алынган чечимдер, </w:t>
            </w:r>
            <w:r w:rsidR="002A0571"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комплекстүү </w:t>
            </w:r>
            <w:r w:rsidR="00914484"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иш чаралар ж. </w:t>
            </w:r>
            <w:r w:rsidR="00EC601B"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Б</w:t>
            </w:r>
            <w:r w:rsidR="00914484"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.</w:t>
            </w:r>
          </w:p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84" w:rsidRPr="002E4E95" w:rsidRDefault="00914484" w:rsidP="00D8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Талкуу боюнча маалымат</w:t>
            </w:r>
          </w:p>
        </w:tc>
      </w:tr>
      <w:tr w:rsidR="00620023" w:rsidRPr="002E4E95" w:rsidTr="00FA343A">
        <w:trPr>
          <w:trHeight w:val="10029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E6" w:rsidRPr="002E4E95" w:rsidRDefault="000F59E6" w:rsidP="002923C1">
            <w:pPr>
              <w:tabs>
                <w:tab w:val="left" w:pos="57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E6" w:rsidRPr="002E4E95" w:rsidRDefault="000F59E6" w:rsidP="002923C1">
            <w:pPr>
              <w:tabs>
                <w:tab w:val="left" w:pos="57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ыргыз-кытай факультети, Кытай тили жана кытай таануу кафедрасы</w:t>
            </w:r>
          </w:p>
          <w:p w:rsidR="000F59E6" w:rsidRPr="002E4E95" w:rsidRDefault="000F59E6" w:rsidP="00602BEB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6" w:rsidRPr="002E4E95" w:rsidRDefault="000F59E6" w:rsidP="00292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532300 </w:t>
            </w:r>
            <w:r w:rsidRPr="00AF576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Кытай таануу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</w:t>
            </w:r>
            <w:r w:rsidRPr="00AF576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Негизги чет тили 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(кытай тили)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F59E6" w:rsidRDefault="000F59E6" w:rsidP="00292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531100 </w:t>
            </w:r>
            <w:r w:rsidRPr="00AF576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Лингвистика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(Котормо жана котормо таануу)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F59E6" w:rsidRDefault="000F59E6" w:rsidP="00292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AF576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Бирин чет тилинин практикалык курсу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(кытай тили)</w:t>
            </w:r>
          </w:p>
          <w:p w:rsidR="000F59E6" w:rsidRPr="002E4E95" w:rsidRDefault="000F59E6" w:rsidP="00292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6" w:rsidRPr="002E4E95" w:rsidRDefault="000F59E6" w:rsidP="002923C1">
            <w:pPr>
              <w:tabs>
                <w:tab w:val="left" w:pos="57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Кытай тили боюнча т</w:t>
            </w:r>
            <w:r w:rsidRPr="00075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екшерүүнүн мазмуну студенттердин тилдин грамматикалык аспектилерин жана аларды тексттин арасында канчалык деңгээлде билүүсүн ан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ыктоого багытталган.   Окутуучулар тарабынан студенттер үчүн түзүлгөн</w:t>
            </w:r>
            <w:r w:rsidRPr="00075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грамматикалык учурларды, термин сөздөрдү студенттер кыйналуу менен чечмелеп, түшүнүп жатышты.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Жыйынтыгында</w:t>
            </w:r>
            <w:r w:rsidRPr="00075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студенттерд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 алган сурамжылоонун натыйжасында, түзүлгөн</w:t>
            </w:r>
            <w:r w:rsidRPr="00075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сынактын </w:t>
            </w:r>
            <w:r w:rsidRPr="00075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суроолор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у, берилген тапшырмалар</w:t>
            </w:r>
            <w:r w:rsidRPr="00075D5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татаал бол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гондугу аныкталды.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6" w:rsidRPr="009D44C6" w:rsidRDefault="000F59E6" w:rsidP="002923C1">
            <w:pPr>
              <w:tabs>
                <w:tab w:val="left" w:pos="57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кытай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тилинин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өздө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үшкөн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мисалдарды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түзүп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чечмелеп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алышты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. Бирок,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грамматикалык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сөздөрдү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маңызында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башка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тилге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которууда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бир аз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кыйналышты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Өзгөчө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кытай тилинен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тилине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которгондо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туура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которгон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учурлар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болду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мындай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болгондугун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анализд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еп, тиешелүү иш аракеттер жүргүзүү сунушу берилди.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6" w:rsidRPr="002E4E95" w:rsidRDefault="000F59E6" w:rsidP="002923C1">
            <w:pPr>
              <w:tabs>
                <w:tab w:val="left" w:pos="5700"/>
              </w:tabs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Pr="009D4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Студенттердин билим деңгээлин жакшыртуу үчүн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r w:rsidRPr="009D4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акульте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9D4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 ай сайын иш чара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ларды</w:t>
            </w:r>
            <w:r w:rsidRPr="009D44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өткө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рүү. А</w:t>
            </w:r>
            <w:r w:rsidRPr="000D2C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тайы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 студенттердин котормо жөндөмдүулүгүн жакшыртуу үчүн котормо, </w:t>
            </w:r>
            <w:r w:rsidRPr="000D2C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кытай тилинде көркөм сүйлөө, китеп окуу конкур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тарын байма-бай </w:t>
            </w:r>
            <w:r w:rsidRPr="000D2C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0D2C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-окуу </w:t>
            </w:r>
            <w:r w:rsidRPr="000D2C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ындагы</w:t>
            </w:r>
            <w:r w:rsidRPr="000D2C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1-курс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 кабыл алынган студенттерге салыштырмалуу 2022-2023-</w:t>
            </w:r>
            <w:r w:rsidRPr="000D2C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жылына кабыл алынган студенттердин кытай тилин өздөштүрүү деңгээли жакшыраак.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Себеби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HSK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тестинин</w:t>
            </w:r>
            <w:proofErr w:type="spellEnd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жыйынтыгына</w:t>
            </w:r>
            <w:proofErr w:type="spellEnd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таянсак</w:t>
            </w:r>
            <w:proofErr w:type="spellEnd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быйылкы</w:t>
            </w:r>
            <w:proofErr w:type="spellEnd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көрсөткүч</w:t>
            </w:r>
            <w:proofErr w:type="spellEnd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бир</w:t>
            </w:r>
            <w:proofErr w:type="spellEnd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канча</w:t>
            </w:r>
            <w:proofErr w:type="spellEnd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жогору</w:t>
            </w:r>
            <w:proofErr w:type="spellEnd"/>
            <w:r w:rsidRPr="002E4E9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E6" w:rsidRPr="002E4E95" w:rsidRDefault="000F59E6" w:rsidP="002923C1">
            <w:pPr>
              <w:tabs>
                <w:tab w:val="left" w:pos="57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Кыргыз-кытай факультетинин ж</w:t>
            </w:r>
            <w:r w:rsidRPr="002E4E9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ыйындын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22.03.2022-жыл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дагы</w:t>
            </w:r>
            <w:r w:rsidRPr="002E4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4E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27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протоколу</w:t>
            </w:r>
          </w:p>
        </w:tc>
      </w:tr>
      <w:tr w:rsidR="00620023" w:rsidRPr="002E4E95" w:rsidTr="00FA343A">
        <w:trPr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4D" w:rsidRPr="002E4E95" w:rsidRDefault="00FD244D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44D" w:rsidRPr="002E4E95" w:rsidRDefault="00FD244D" w:rsidP="00602BEB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2E4E95" w:rsidRDefault="00FD244D" w:rsidP="00FD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532300 </w:t>
            </w:r>
            <w:r w:rsidRPr="00AF576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Кытай таануу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</w:t>
            </w:r>
            <w:r w:rsidRPr="00FA343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Экинчи чет тили</w:t>
            </w:r>
            <w:r w:rsidRPr="00FA343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тили)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D244D" w:rsidRDefault="00FD244D" w:rsidP="00FD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531100 </w:t>
            </w:r>
            <w:r w:rsidRPr="00AF576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Лингвистика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(Котормо жана котормо таануу)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D244D" w:rsidRPr="00FA343A" w:rsidRDefault="00FD244D" w:rsidP="00FD24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FA343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</w:t>
            </w:r>
            <w:r w:rsidRPr="00FA343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кинчи чет тилинин </w:t>
            </w:r>
            <w:r w:rsidRPr="00FA343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практикалык курсу</w:t>
            </w:r>
          </w:p>
          <w:p w:rsidR="00FD244D" w:rsidRDefault="00FD244D" w:rsidP="00FD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тили)</w:t>
            </w:r>
          </w:p>
          <w:p w:rsidR="00FD244D" w:rsidRPr="002E4E95" w:rsidRDefault="00FD244D" w:rsidP="00B54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2E4E95" w:rsidRDefault="00FD244D" w:rsidP="00620023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Текшерүүнүн мазмуну студенттердин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англис </w:t>
            </w:r>
            <w:r w:rsidRPr="00FD2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</w:t>
            </w:r>
            <w:r w:rsidRPr="00FD24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 грамматикалык, создук жана лексикалык аспектилерин жана аларды тексттин арасында канчалык деңгээлде билүүсүн аныктоого багытталган. 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Бирок,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студенттердин айтымында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англис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экинчи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чет тили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болгондугуна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байланыштуу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тесттин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суроолору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аз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Натыйжада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үн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татаал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болот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тесттеги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кийинки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тессттерде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женилдетип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з зарыл.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2E4E95" w:rsidRDefault="00FD244D" w:rsidP="00620023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gram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нглис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тилини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экинчи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чет тили катары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канаатандырарлык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денгээлде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өздөштүргөн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аларды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мисалдарды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түзүп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чечмелеп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алышты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. Бирок, ал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грамматикалык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сөздөрдү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тексттин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маңызында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башка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тилге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которууда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кыйналышты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мындай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болгондугун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анализдөөгө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тийиш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2E4E95" w:rsidRDefault="00FD244D" w:rsidP="00620023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пикири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текшерүү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учурунда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колдонулган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суроолор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тексттер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аябай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кызыктуу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, бирок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тесттеги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суроо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тапшырмалар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аз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таттал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Көлөм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жагынан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өтө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2E4E95" w:rsidRDefault="00FD244D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23" w:rsidRPr="002E4E95" w:rsidTr="00FA343A">
        <w:trPr>
          <w:trHeight w:val="6109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2E4E95" w:rsidRDefault="00FD244D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2E4E95" w:rsidRDefault="00FD244D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Default="00620023" w:rsidP="00FA3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531000 </w:t>
            </w:r>
            <w:r w:rsidRPr="006200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Филология </w:t>
            </w:r>
            <w:r w:rsidRPr="002E4E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(филологиялык дисциплиналарды окутуунун методикасы)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</w:t>
            </w:r>
          </w:p>
          <w:p w:rsidR="00620023" w:rsidRPr="00FA343A" w:rsidRDefault="00620023" w:rsidP="00FA3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A343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Бирин чет тилинин практикалык курсу </w:t>
            </w:r>
            <w:r w:rsidR="00FA343A" w:rsidRP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англис тили</w:t>
            </w:r>
            <w:r w:rsidR="00FA343A" w:rsidRP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A92367" w:rsidRDefault="00620023" w:rsidP="00FA343A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Түзүлгөн тесттин суроолору</w:t>
            </w:r>
            <w:r w:rsidR="00FD244D" w:rsidRPr="006200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студенттердин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англис тилини </w:t>
            </w:r>
            <w:r w:rsidR="00FD244D" w:rsidRPr="006200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грамматикалык, лексикалык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деңгээлин </w:t>
            </w:r>
            <w:r w:rsidR="00FD244D" w:rsidRPr="0062002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аныктоого багытталган. 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Натыйжада, биз студент үчүн татаал болот деген грамматикалык, с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жана лексикалык учурларды студенттер о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ой 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чечмелеп, түшүнүп 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аткара алышты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Бирок, студенттердин пикири боюнча, экзамендик суроолор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оңой</w:t>
            </w:r>
            <w:r w:rsidR="00FD244D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бол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гондугу айтылды. Демек, эмки текшерүүлөрдө дэңгээли жогорураак тапшырмаларды берүү керектиги аныкталды.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A" w:rsidRDefault="00FD244D" w:rsidP="00FA343A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</w:t>
            </w:r>
            <w:r w:rsidR="00A92367"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нттер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англис тилинин  грамматикасын, 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лг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темалар боюнча жаны с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зд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r w:rsid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A923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 жана лексикасын жакшы өздөштүргөн, аларды колдонуу менен мисалдарды түзүп, чечмелеп бере алышты. </w:t>
            </w:r>
          </w:p>
          <w:p w:rsidR="00FA343A" w:rsidRPr="00FA343A" w:rsidRDefault="00FA343A" w:rsidP="00FA3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A343A" w:rsidRPr="00FA343A" w:rsidRDefault="00FA343A" w:rsidP="00FA3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A343A" w:rsidRPr="00FA343A" w:rsidRDefault="00FA343A" w:rsidP="00FA3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A343A" w:rsidRPr="00FA343A" w:rsidRDefault="00FA343A" w:rsidP="00FA3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D244D" w:rsidRPr="00FA343A" w:rsidRDefault="00FD244D" w:rsidP="00FA3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FA343A" w:rsidRDefault="00FD244D" w:rsidP="00FA343A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Студенттердин пикири боюнча текшерүү учурунда колдонулган  суроолор жана тексттер аябай кызыктуу жана женил болгон.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деңгээлин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жакшыртуу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жумасына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АКШдан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ыктыярчылар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толкинг</w:t>
            </w:r>
            <w:proofErr w:type="spellEnd"/>
            <w:r w:rsid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клабтарды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акульте</w:t>
            </w:r>
            <w:proofErr w:type="spellEnd"/>
            <w:r w:rsid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те ай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чара,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E95">
              <w:rPr>
                <w:rFonts w:ascii="Times New Roman" w:hAnsi="Times New Roman" w:cs="Times New Roman"/>
                <w:sz w:val="24"/>
                <w:szCs w:val="24"/>
              </w:rPr>
              <w:t>өткөзү</w:t>
            </w:r>
            <w:proofErr w:type="spellEnd"/>
            <w:proofErr w:type="gramStart"/>
            <w:r w:rsid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gramEnd"/>
            <w:r w:rsidR="00FA34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туруу чечими кабыл алынды.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D" w:rsidRPr="002E4E95" w:rsidRDefault="00FD244D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20C" w:rsidRDefault="002D020C"/>
    <w:p w:rsidR="006179A3" w:rsidRDefault="006179A3">
      <w:bookmarkStart w:id="0" w:name="_GoBack"/>
      <w:bookmarkEnd w:id="0"/>
    </w:p>
    <w:sectPr w:rsidR="006179A3" w:rsidSect="0091448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F7D"/>
    <w:rsid w:val="00066286"/>
    <w:rsid w:val="00075D52"/>
    <w:rsid w:val="00081E11"/>
    <w:rsid w:val="00082C92"/>
    <w:rsid w:val="000B04EE"/>
    <w:rsid w:val="000B1E51"/>
    <w:rsid w:val="000D2C85"/>
    <w:rsid w:val="000F59E6"/>
    <w:rsid w:val="00103AC9"/>
    <w:rsid w:val="00215981"/>
    <w:rsid w:val="00244C2D"/>
    <w:rsid w:val="00267F7D"/>
    <w:rsid w:val="002923C1"/>
    <w:rsid w:val="002A0571"/>
    <w:rsid w:val="002D020C"/>
    <w:rsid w:val="002E4E95"/>
    <w:rsid w:val="003835B6"/>
    <w:rsid w:val="00391128"/>
    <w:rsid w:val="003C33E6"/>
    <w:rsid w:val="003C5B0E"/>
    <w:rsid w:val="003D13D7"/>
    <w:rsid w:val="003D4C87"/>
    <w:rsid w:val="004B68FF"/>
    <w:rsid w:val="004F16E5"/>
    <w:rsid w:val="0050751A"/>
    <w:rsid w:val="00523ECE"/>
    <w:rsid w:val="00543EB8"/>
    <w:rsid w:val="00563E2E"/>
    <w:rsid w:val="0056605A"/>
    <w:rsid w:val="005B55B5"/>
    <w:rsid w:val="005E1693"/>
    <w:rsid w:val="006179A3"/>
    <w:rsid w:val="00620023"/>
    <w:rsid w:val="0062230B"/>
    <w:rsid w:val="006274A3"/>
    <w:rsid w:val="006F346C"/>
    <w:rsid w:val="00700971"/>
    <w:rsid w:val="007178DD"/>
    <w:rsid w:val="00721C93"/>
    <w:rsid w:val="0072473D"/>
    <w:rsid w:val="00744C4F"/>
    <w:rsid w:val="0077707E"/>
    <w:rsid w:val="007C5531"/>
    <w:rsid w:val="007F6292"/>
    <w:rsid w:val="008101D1"/>
    <w:rsid w:val="0087788E"/>
    <w:rsid w:val="008E35BF"/>
    <w:rsid w:val="00914484"/>
    <w:rsid w:val="0093050A"/>
    <w:rsid w:val="00954223"/>
    <w:rsid w:val="009D44C6"/>
    <w:rsid w:val="00A05273"/>
    <w:rsid w:val="00A06059"/>
    <w:rsid w:val="00A25F6F"/>
    <w:rsid w:val="00A774EF"/>
    <w:rsid w:val="00A91B13"/>
    <w:rsid w:val="00A92367"/>
    <w:rsid w:val="00AC07CB"/>
    <w:rsid w:val="00AF5768"/>
    <w:rsid w:val="00B16FF5"/>
    <w:rsid w:val="00B412D3"/>
    <w:rsid w:val="00B62C5D"/>
    <w:rsid w:val="00B745D3"/>
    <w:rsid w:val="00BC7926"/>
    <w:rsid w:val="00C96DBC"/>
    <w:rsid w:val="00C96E1F"/>
    <w:rsid w:val="00CF6FC6"/>
    <w:rsid w:val="00D30E89"/>
    <w:rsid w:val="00D36E5F"/>
    <w:rsid w:val="00D81937"/>
    <w:rsid w:val="00D92FC3"/>
    <w:rsid w:val="00DD1523"/>
    <w:rsid w:val="00DE5BC9"/>
    <w:rsid w:val="00E272C0"/>
    <w:rsid w:val="00E607C1"/>
    <w:rsid w:val="00EC601B"/>
    <w:rsid w:val="00FA343A"/>
    <w:rsid w:val="00FA7BAC"/>
    <w:rsid w:val="00FD244D"/>
    <w:rsid w:val="00FE1BA7"/>
    <w:rsid w:val="00FF502F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84"/>
    <w:pPr>
      <w:spacing w:after="200" w:line="276" w:lineRule="auto"/>
    </w:pPr>
    <w:rPr>
      <w:rFonts w:ascii="Calibri" w:eastAsia="Times New Roman" w:hAnsi="Calibri" w:cs="Arial Unicode MS"/>
      <w:szCs w:val="32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83173-F6A2-47E1-87DD-6920B345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kkf.oshsu</cp:lastModifiedBy>
  <cp:revision>286</cp:revision>
  <dcterms:created xsi:type="dcterms:W3CDTF">2023-03-22T04:49:00Z</dcterms:created>
  <dcterms:modified xsi:type="dcterms:W3CDTF">2023-03-29T07:37:00Z</dcterms:modified>
</cp:coreProperties>
</file>