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0" w:rsidRPr="002D12DD" w:rsidRDefault="002D12DD" w:rsidP="0099143C">
      <w:pPr>
        <w:ind w:left="284"/>
        <w:contextualSpacing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</w:t>
      </w:r>
      <w:r w:rsidR="00D34330" w:rsidRPr="002D12DD">
        <w:rPr>
          <w:b/>
          <w:sz w:val="32"/>
          <w:szCs w:val="32"/>
          <w:lang w:val="ky-KG"/>
        </w:rPr>
        <w:t xml:space="preserve">Кыргыз Республикасынын  илим  жана  билим   министрлиги  </w:t>
      </w:r>
    </w:p>
    <w:p w:rsidR="00D34330" w:rsidRPr="002D12DD" w:rsidRDefault="00D34330" w:rsidP="0099143C">
      <w:pPr>
        <w:ind w:left="284"/>
        <w:contextualSpacing/>
        <w:rPr>
          <w:b/>
          <w:sz w:val="32"/>
          <w:szCs w:val="32"/>
          <w:lang w:val="ky-KG"/>
        </w:rPr>
      </w:pPr>
      <w:r w:rsidRPr="002D12DD">
        <w:rPr>
          <w:b/>
          <w:sz w:val="32"/>
          <w:szCs w:val="32"/>
          <w:lang w:val="ky-KG"/>
        </w:rPr>
        <w:t xml:space="preserve">                </w:t>
      </w:r>
      <w:r w:rsidR="002D12DD">
        <w:rPr>
          <w:b/>
          <w:sz w:val="32"/>
          <w:szCs w:val="32"/>
          <w:lang w:val="ky-KG"/>
        </w:rPr>
        <w:t xml:space="preserve"> </w:t>
      </w:r>
      <w:r w:rsidRPr="002D12DD">
        <w:rPr>
          <w:b/>
          <w:sz w:val="32"/>
          <w:szCs w:val="32"/>
          <w:lang w:val="ky-KG"/>
        </w:rPr>
        <w:t xml:space="preserve">    Ош мамлекеттик  Университети </w:t>
      </w:r>
    </w:p>
    <w:p w:rsidR="00D34330" w:rsidRPr="002D12DD" w:rsidRDefault="00D34330" w:rsidP="0099143C">
      <w:pPr>
        <w:ind w:left="284"/>
        <w:contextualSpacing/>
        <w:rPr>
          <w:b/>
          <w:sz w:val="32"/>
          <w:szCs w:val="32"/>
          <w:lang w:val="ky-KG"/>
        </w:rPr>
      </w:pPr>
      <w:r w:rsidRPr="002D12DD">
        <w:rPr>
          <w:b/>
          <w:sz w:val="32"/>
          <w:szCs w:val="32"/>
          <w:lang w:val="ky-KG"/>
        </w:rPr>
        <w:t xml:space="preserve">                   </w:t>
      </w:r>
      <w:r w:rsidR="002D12DD">
        <w:rPr>
          <w:b/>
          <w:sz w:val="32"/>
          <w:szCs w:val="32"/>
          <w:lang w:val="ky-KG"/>
        </w:rPr>
        <w:t xml:space="preserve">  </w:t>
      </w:r>
      <w:r w:rsidRPr="002D12DD">
        <w:rPr>
          <w:b/>
          <w:sz w:val="32"/>
          <w:szCs w:val="32"/>
          <w:lang w:val="ky-KG"/>
        </w:rPr>
        <w:t xml:space="preserve">       Медицина  факультети  </w:t>
      </w:r>
    </w:p>
    <w:p w:rsidR="00D34330" w:rsidRPr="002D12DD" w:rsidRDefault="002D12DD" w:rsidP="0099143C">
      <w:pPr>
        <w:ind w:left="284"/>
        <w:contextualSpacing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</w:t>
      </w:r>
      <w:r w:rsidR="00D34330" w:rsidRPr="002D12DD">
        <w:rPr>
          <w:b/>
          <w:sz w:val="32"/>
          <w:szCs w:val="32"/>
          <w:lang w:val="ky-KG"/>
        </w:rPr>
        <w:t>Хирургиялык  жана  курактык  стоматология  кафедрасы</w:t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</w:rPr>
      </w:pPr>
    </w:p>
    <w:p w:rsidR="00D34330" w:rsidRPr="002D12DD" w:rsidRDefault="000473B9" w:rsidP="0099143C">
      <w:pPr>
        <w:ind w:left="284"/>
        <w:contextualSpacing/>
        <w:jc w:val="center"/>
        <w:rPr>
          <w:b/>
          <w:sz w:val="22"/>
          <w:szCs w:val="22"/>
        </w:rPr>
      </w:pPr>
      <w:r w:rsidRPr="002D12DD">
        <w:rPr>
          <w:b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8.25pt;height:176.25pt" adj="5665" fillcolor="black">
            <v:shadow color="#868686"/>
            <v:textpath style="font-family:&quot;Impact&quot;;v-text-kern:t" trim="t" fitpath="t" xscale="f" string="КАФЕДРАНЫН ПАСПОРТУ"/>
          </v:shape>
        </w:pict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</w:rPr>
      </w:pPr>
      <w:r w:rsidRPr="002D12DD">
        <w:rPr>
          <w:noProof/>
          <w:sz w:val="22"/>
          <w:szCs w:val="22"/>
        </w:rPr>
        <w:drawing>
          <wp:inline distT="0" distB="0" distL="0" distR="0">
            <wp:extent cx="252412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</w:rPr>
      </w:pP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  <w:lang w:val="en-US"/>
        </w:rPr>
      </w:pPr>
      <w:r w:rsidRPr="002D12DD">
        <w:rPr>
          <w:b/>
          <w:sz w:val="22"/>
          <w:szCs w:val="22"/>
        </w:rPr>
        <w:t>ОШ -20</w:t>
      </w:r>
      <w:r w:rsidRPr="002D12DD">
        <w:rPr>
          <w:b/>
          <w:sz w:val="22"/>
          <w:szCs w:val="22"/>
          <w:lang w:val="en-US"/>
        </w:rPr>
        <w:t>1</w:t>
      </w:r>
      <w:r w:rsidR="00F96331" w:rsidRPr="002D12DD">
        <w:rPr>
          <w:b/>
          <w:sz w:val="22"/>
          <w:szCs w:val="22"/>
          <w:lang w:val="ky-KG"/>
        </w:rPr>
        <w:t>6</w:t>
      </w:r>
      <w:r w:rsidRPr="002D12DD">
        <w:rPr>
          <w:b/>
          <w:sz w:val="22"/>
          <w:szCs w:val="22"/>
          <w:lang w:val="en-US"/>
        </w:rPr>
        <w:t xml:space="preserve"> </w:t>
      </w:r>
      <w:r w:rsidRPr="002D12DD">
        <w:rPr>
          <w:b/>
          <w:sz w:val="22"/>
          <w:szCs w:val="22"/>
        </w:rPr>
        <w:t>ж.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jc w:val="center"/>
        <w:rPr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jc w:val="center"/>
        <w:rPr>
          <w:sz w:val="22"/>
          <w:szCs w:val="22"/>
          <w:lang w:val="ky-KG"/>
        </w:rPr>
      </w:pPr>
      <w:r w:rsidRPr="002D12DD">
        <w:rPr>
          <w:noProof/>
          <w:sz w:val="22"/>
          <w:szCs w:val="22"/>
        </w:rPr>
        <w:drawing>
          <wp:inline distT="0" distB="0" distL="0" distR="0">
            <wp:extent cx="5829300" cy="3829050"/>
            <wp:effectExtent l="19050" t="0" r="0" b="0"/>
            <wp:docPr id="3" name="Рисунок 3" descr="3011201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1120111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ОшМУнун медицина факультетинин  “Хирургиялык   жана  курактык  стоматология”  кафедра башчысы  медицина илимдеринин кандидаты доцент   Мамажакып уулу Жаңыбай</w:t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D34330" w:rsidRPr="002D12DD" w:rsidRDefault="00D34330" w:rsidP="001C4EC8">
      <w:pPr>
        <w:ind w:left="284"/>
        <w:contextualSpacing/>
        <w:jc w:val="center"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</w:rPr>
        <w:t>Стоматология  кафедрасынын  тарыхы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   </w:t>
      </w:r>
      <w:r w:rsidR="00F83A69" w:rsidRPr="002D12DD">
        <w:rPr>
          <w:sz w:val="22"/>
          <w:szCs w:val="22"/>
          <w:lang w:val="ky-KG"/>
        </w:rPr>
        <w:t xml:space="preserve">   </w:t>
      </w:r>
      <w:r w:rsidR="00D34330" w:rsidRPr="002D12DD">
        <w:rPr>
          <w:sz w:val="22"/>
          <w:szCs w:val="22"/>
        </w:rPr>
        <w:t xml:space="preserve">ОшМУнун медицина факультетинин стоматология кафедрасы </w:t>
      </w:r>
    </w:p>
    <w:p w:rsidR="00D34330" w:rsidRPr="002D12DD" w:rsidRDefault="00F83A69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>2001-жылы ачылган. Стоматология б</w:t>
      </w:r>
      <w:r w:rsidR="00D34330" w:rsidRPr="002D12DD">
        <w:rPr>
          <w:sz w:val="22"/>
          <w:szCs w:val="22"/>
          <w:lang w:val="ky-KG"/>
        </w:rPr>
        <w:t>ө</w:t>
      </w:r>
      <w:r w:rsidR="00D34330" w:rsidRPr="002D12DD">
        <w:rPr>
          <w:sz w:val="22"/>
          <w:szCs w:val="22"/>
        </w:rPr>
        <w:t>л</w:t>
      </w:r>
      <w:r w:rsidR="00D34330" w:rsidRPr="002D12DD">
        <w:rPr>
          <w:sz w:val="22"/>
          <w:szCs w:val="22"/>
          <w:lang w:val="ky-KG"/>
        </w:rPr>
        <w:t>ү</w:t>
      </w:r>
      <w:r w:rsidR="00D34330" w:rsidRPr="002D12DD">
        <w:rPr>
          <w:sz w:val="22"/>
          <w:szCs w:val="22"/>
        </w:rPr>
        <w:t>м</w:t>
      </w:r>
      <w:r w:rsidR="00D34330" w:rsidRPr="002D12DD">
        <w:rPr>
          <w:sz w:val="22"/>
          <w:szCs w:val="22"/>
          <w:lang w:val="ky-KG"/>
        </w:rPr>
        <w:t>ү</w:t>
      </w:r>
      <w:r w:rsidR="00D34330" w:rsidRPr="002D12DD">
        <w:rPr>
          <w:sz w:val="22"/>
          <w:szCs w:val="22"/>
        </w:rPr>
        <w:t>н</w:t>
      </w:r>
      <w:r w:rsidR="00D34330" w:rsidRPr="002D12DD">
        <w:rPr>
          <w:sz w:val="22"/>
          <w:szCs w:val="22"/>
          <w:lang w:val="ky-KG"/>
        </w:rPr>
        <w:t>ө</w:t>
      </w:r>
      <w:r w:rsidR="00D34330" w:rsidRPr="002D12DD">
        <w:rPr>
          <w:sz w:val="22"/>
          <w:szCs w:val="22"/>
        </w:rPr>
        <w:t xml:space="preserve"> 1-сентябрда 24 студент кабыл алынган. 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>2002-жылы 70 студент кабыл алынган.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  <w:lang w:val="ky-KG"/>
        </w:rPr>
        <w:t>2003- жылы 86 студент кабыл алынган.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  <w:lang w:val="ky-KG"/>
        </w:rPr>
        <w:t xml:space="preserve">2004 – жылы 98 студент кабыл алынган </w:t>
      </w:r>
    </w:p>
    <w:p w:rsidR="00D34330" w:rsidRPr="002D12DD" w:rsidRDefault="00F83A69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>2005-жылы</w:t>
      </w:r>
      <w:r w:rsidR="00D34330" w:rsidRPr="002D12DD">
        <w:rPr>
          <w:sz w:val="22"/>
          <w:szCs w:val="22"/>
          <w:lang w:val="ky-KG"/>
        </w:rPr>
        <w:t xml:space="preserve">  120 студент кабыл алынган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2005-жылы ОшМУнун окумуштуулар ке</w:t>
      </w:r>
      <w:r w:rsidRPr="002D12DD">
        <w:rPr>
          <w:sz w:val="22"/>
          <w:szCs w:val="22"/>
          <w:lang w:val="ky-KG"/>
        </w:rPr>
        <w:t>ң</w:t>
      </w:r>
      <w:r w:rsidRPr="002D12DD">
        <w:rPr>
          <w:sz w:val="22"/>
          <w:szCs w:val="22"/>
        </w:rPr>
        <w:t xml:space="preserve">ешинин чечими </w:t>
      </w:r>
      <w:r w:rsidRPr="002D12DD">
        <w:rPr>
          <w:sz w:val="22"/>
          <w:szCs w:val="22"/>
          <w:lang w:val="ky-KG"/>
        </w:rPr>
        <w:t xml:space="preserve"> менен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(2005-ж. 24.06. №9 буйругу) жана ОшМУнун ректорунун 2005-жылдын 18-июнундагы №145 буйругу менен ОшМУнун стоматология факультети болуп  түзүлгөн. Факультеттин деканы доцент Арстанбеков М.А. дайындалган.( Приказ №146,  18.07.2005 жыл ).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2006-жылы стоматология   факультети жабылып, ОшМУнун медициналык инстититунун стоматологиялык кафедрасы болуп калтырылып, кафедра башчылыгына м.и.к., доцент Арстанбеков М.А. дайындалган.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ab/>
        <w:t xml:space="preserve">2008 жылы стоматология адистиги кайрадан ачылып, мурда башка ЖОЖдорго которулган студенттер ОшМУнун медицина факультетинин стоматология адистиги бөлүмүнүн 2-3-курстарына которулуп келишкен.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ab/>
      </w:r>
      <w:r w:rsidRPr="002D12DD">
        <w:rPr>
          <w:sz w:val="22"/>
          <w:szCs w:val="22"/>
        </w:rPr>
        <w:t xml:space="preserve">2008-жылы 1-курска 50 студент кабыл алынган.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2011 жылы  стоматология</w:t>
      </w: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 кафедрасы </w:t>
      </w:r>
      <w:r w:rsidRPr="002D12DD">
        <w:rPr>
          <w:sz w:val="22"/>
          <w:szCs w:val="22"/>
          <w:lang w:val="ky-KG"/>
        </w:rPr>
        <w:t xml:space="preserve"> эки кафедрага бөлүнүп (буйрук  №574 .28.10.11)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1. “Ортопедиялык жана терапевтикалык  стоматология кафедрасы”,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кафедра башчысы  профессор     Арстанбеков М.А. дайындалган.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2.”Хирургиялык жана курактык стоматология курсу  менен”</w:t>
      </w:r>
    </w:p>
    <w:p w:rsidR="00AB078C" w:rsidRPr="00E82D08" w:rsidRDefault="00D34330" w:rsidP="00E82D08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кафедра башчысы  </w:t>
      </w:r>
      <w:r w:rsidR="001C4EC8" w:rsidRPr="002D12DD">
        <w:rPr>
          <w:sz w:val="22"/>
          <w:szCs w:val="22"/>
          <w:lang w:val="ky-KG"/>
        </w:rPr>
        <w:t xml:space="preserve">м.и.к., </w:t>
      </w:r>
      <w:r w:rsidRPr="002D12DD">
        <w:rPr>
          <w:sz w:val="22"/>
          <w:szCs w:val="22"/>
          <w:lang w:val="ky-KG"/>
        </w:rPr>
        <w:t xml:space="preserve">доцент </w:t>
      </w:r>
      <w:r w:rsidR="001C4EC8"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  <w:lang w:val="ky-KG"/>
        </w:rPr>
        <w:t>Мамажакып уулу Ж. дайындалган.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</w:rPr>
      </w:pPr>
      <w:r w:rsidRPr="002D12DD">
        <w:rPr>
          <w:b/>
          <w:sz w:val="22"/>
          <w:szCs w:val="22"/>
        </w:rPr>
        <w:t>Хирургиялык стоматология</w:t>
      </w:r>
      <w:r w:rsidRPr="002D12DD">
        <w:rPr>
          <w:b/>
          <w:sz w:val="22"/>
          <w:szCs w:val="22"/>
          <w:lang w:val="ky-KG"/>
        </w:rPr>
        <w:t xml:space="preserve"> </w:t>
      </w:r>
      <w:r w:rsidRPr="002D12DD">
        <w:rPr>
          <w:b/>
          <w:sz w:val="22"/>
          <w:szCs w:val="22"/>
        </w:rPr>
        <w:t xml:space="preserve"> кафедрасы т</w:t>
      </w:r>
      <w:r w:rsidRPr="002D12DD">
        <w:rPr>
          <w:b/>
          <w:sz w:val="22"/>
          <w:szCs w:val="22"/>
          <w:lang w:val="ky-KG"/>
        </w:rPr>
        <w:t>ө</w:t>
      </w:r>
      <w:r w:rsidRPr="002D12DD">
        <w:rPr>
          <w:b/>
          <w:sz w:val="22"/>
          <w:szCs w:val="22"/>
        </w:rPr>
        <w:t>м</w:t>
      </w:r>
      <w:r w:rsidRPr="002D12DD">
        <w:rPr>
          <w:b/>
          <w:sz w:val="22"/>
          <w:szCs w:val="22"/>
          <w:lang w:val="ky-KG"/>
        </w:rPr>
        <w:t>ө</w:t>
      </w:r>
      <w:r w:rsidRPr="002D12DD">
        <w:rPr>
          <w:b/>
          <w:sz w:val="22"/>
          <w:szCs w:val="22"/>
        </w:rPr>
        <w:t>нк</w:t>
      </w:r>
      <w:r w:rsidRPr="002D12DD">
        <w:rPr>
          <w:b/>
          <w:sz w:val="22"/>
          <w:szCs w:val="22"/>
          <w:lang w:val="ky-KG"/>
        </w:rPr>
        <w:t xml:space="preserve">ү  </w:t>
      </w:r>
      <w:r w:rsidRPr="002D12DD">
        <w:rPr>
          <w:b/>
          <w:sz w:val="22"/>
          <w:szCs w:val="22"/>
        </w:rPr>
        <w:t>багыттагы предметтер боюнча сабактар от</w:t>
      </w:r>
      <w:r w:rsidRPr="002D12DD">
        <w:rPr>
          <w:b/>
          <w:sz w:val="22"/>
          <w:szCs w:val="22"/>
          <w:lang w:val="ky-KG"/>
        </w:rPr>
        <w:t>у</w:t>
      </w:r>
      <w:r w:rsidRPr="002D12DD">
        <w:rPr>
          <w:b/>
          <w:sz w:val="22"/>
          <w:szCs w:val="22"/>
        </w:rPr>
        <w:t xml:space="preserve">лот. 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Хирургиялык стоматология;</w:t>
      </w:r>
      <w:r w:rsidRPr="002D12DD">
        <w:rPr>
          <w:sz w:val="22"/>
          <w:szCs w:val="22"/>
          <w:lang w:val="ky-KG"/>
        </w:rPr>
        <w:t xml:space="preserve"> 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Имплантология;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lastRenderedPageBreak/>
        <w:t>Онкологиялык стоматология;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Балдардын терапиялык стоматология</w:t>
      </w:r>
      <w:r w:rsidRPr="002D12DD">
        <w:rPr>
          <w:sz w:val="22"/>
          <w:szCs w:val="22"/>
          <w:lang w:val="ky-KG"/>
        </w:rPr>
        <w:t>сы</w:t>
      </w:r>
      <w:r w:rsidRPr="002D12DD">
        <w:rPr>
          <w:sz w:val="22"/>
          <w:szCs w:val="22"/>
        </w:rPr>
        <w:t>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Балдардын хирургиялык стоматология</w:t>
      </w:r>
      <w:r w:rsidRPr="002D12DD">
        <w:rPr>
          <w:sz w:val="22"/>
          <w:szCs w:val="22"/>
          <w:lang w:val="ky-KG"/>
        </w:rPr>
        <w:t>сы</w:t>
      </w:r>
      <w:r w:rsidRPr="002D12DD">
        <w:rPr>
          <w:sz w:val="22"/>
          <w:szCs w:val="22"/>
        </w:rPr>
        <w:t>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Жаш курактагы стоматологиялык оорууну алдына алуу;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Пластикалык хирургия;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Кафедрада стоматология адистиги боюнча 1-курстан 5-курска чейинки  </w:t>
      </w:r>
      <w:r w:rsidRPr="002D12DD">
        <w:rPr>
          <w:sz w:val="22"/>
          <w:szCs w:val="22"/>
          <w:lang w:val="ky-KG"/>
        </w:rPr>
        <w:t xml:space="preserve">786 </w:t>
      </w:r>
      <w:r w:rsidRPr="002D12DD">
        <w:rPr>
          <w:sz w:val="22"/>
          <w:szCs w:val="22"/>
        </w:rPr>
        <w:t xml:space="preserve">студенттерге билим берилет. Студенттердин ичинде Пакистандан,Непалдан, Индиядан, жакынкы жана алыскы чет 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лк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л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рд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 келген</w:t>
      </w:r>
      <w:r w:rsidRPr="002D12DD">
        <w:rPr>
          <w:sz w:val="22"/>
          <w:szCs w:val="22"/>
          <w:lang w:val="ky-KG"/>
        </w:rPr>
        <w:t xml:space="preserve"> студенттер </w:t>
      </w:r>
      <w:r w:rsidRPr="002D12DD">
        <w:rPr>
          <w:sz w:val="22"/>
          <w:szCs w:val="22"/>
        </w:rPr>
        <w:t>бар.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sz w:val="22"/>
          <w:szCs w:val="22"/>
        </w:rPr>
        <w:t xml:space="preserve">     </w:t>
      </w:r>
      <w:r w:rsidRPr="002D12DD">
        <w:rPr>
          <w:b/>
          <w:sz w:val="22"/>
          <w:szCs w:val="22"/>
        </w:rPr>
        <w:t xml:space="preserve">ОшМУнун медицина факультетинин стоматология кафедрасынын студенттеринин  контингенти </w:t>
      </w:r>
      <w:r w:rsidRPr="002D12DD">
        <w:rPr>
          <w:b/>
          <w:sz w:val="22"/>
          <w:szCs w:val="22"/>
          <w:lang w:val="ky-KG"/>
        </w:rPr>
        <w:t xml:space="preserve"> 201</w:t>
      </w:r>
      <w:r w:rsidR="00AB078C" w:rsidRPr="002D12DD">
        <w:rPr>
          <w:b/>
          <w:sz w:val="22"/>
          <w:szCs w:val="22"/>
          <w:lang w:val="ky-KG"/>
        </w:rPr>
        <w:t>6</w:t>
      </w:r>
      <w:r w:rsidRPr="002D12DD">
        <w:rPr>
          <w:b/>
          <w:sz w:val="22"/>
          <w:szCs w:val="22"/>
          <w:lang w:val="ky-KG"/>
        </w:rPr>
        <w:t xml:space="preserve"> – 201</w:t>
      </w:r>
      <w:r w:rsidR="00AB078C" w:rsidRPr="002D12DD">
        <w:rPr>
          <w:b/>
          <w:sz w:val="22"/>
          <w:szCs w:val="22"/>
          <w:lang w:val="ky-KG"/>
        </w:rPr>
        <w:t>7</w:t>
      </w:r>
      <w:r w:rsidRPr="002D12DD">
        <w:rPr>
          <w:b/>
          <w:sz w:val="22"/>
          <w:szCs w:val="22"/>
          <w:lang w:val="ky-KG"/>
        </w:rPr>
        <w:t xml:space="preserve"> окуу жылына карата </w:t>
      </w:r>
    </w:p>
    <w:p w:rsidR="00D34330" w:rsidRPr="002D12DD" w:rsidRDefault="00AB078C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 xml:space="preserve">1 курс </w:t>
      </w:r>
      <w:r w:rsidRPr="002D12DD">
        <w:rPr>
          <w:sz w:val="22"/>
          <w:szCs w:val="22"/>
          <w:lang w:val="ky-KG"/>
        </w:rPr>
        <w:t>120</w:t>
      </w:r>
      <w:r w:rsidR="00D34330" w:rsidRPr="002D12DD">
        <w:rPr>
          <w:sz w:val="22"/>
          <w:szCs w:val="22"/>
        </w:rPr>
        <w:t xml:space="preserve"> студент</w:t>
      </w:r>
      <w:r w:rsidR="00D34330" w:rsidRPr="002D12DD">
        <w:rPr>
          <w:sz w:val="22"/>
          <w:szCs w:val="22"/>
          <w:lang w:val="ky-KG"/>
        </w:rPr>
        <w:t xml:space="preserve">      7 группа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 xml:space="preserve"> 2 курс студент</w:t>
      </w:r>
      <w:r w:rsidRPr="002D12DD">
        <w:rPr>
          <w:sz w:val="22"/>
          <w:szCs w:val="22"/>
          <w:lang w:val="ky-KG"/>
        </w:rPr>
        <w:t xml:space="preserve">      7  группа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>3 курс 146 студент</w:t>
      </w:r>
      <w:r w:rsidR="00AB078C" w:rsidRPr="002D12DD">
        <w:rPr>
          <w:sz w:val="22"/>
          <w:szCs w:val="22"/>
          <w:lang w:val="ky-KG"/>
        </w:rPr>
        <w:t xml:space="preserve">      7 </w:t>
      </w:r>
      <w:r w:rsidRPr="002D12DD">
        <w:rPr>
          <w:sz w:val="22"/>
          <w:szCs w:val="22"/>
          <w:lang w:val="ky-KG"/>
        </w:rPr>
        <w:t xml:space="preserve"> группа  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4 курс </w:t>
      </w:r>
      <w:r w:rsidR="00AB078C" w:rsidRPr="002D12DD">
        <w:rPr>
          <w:sz w:val="22"/>
          <w:szCs w:val="22"/>
          <w:lang w:val="ky-KG"/>
        </w:rPr>
        <w:t xml:space="preserve">160 </w:t>
      </w:r>
      <w:r w:rsidRPr="002D12DD">
        <w:rPr>
          <w:sz w:val="22"/>
          <w:szCs w:val="22"/>
        </w:rPr>
        <w:t>студент</w:t>
      </w:r>
      <w:r w:rsidRPr="002D12DD">
        <w:rPr>
          <w:sz w:val="22"/>
          <w:szCs w:val="22"/>
          <w:lang w:val="ky-KG"/>
        </w:rPr>
        <w:t xml:space="preserve">     </w:t>
      </w:r>
      <w:r w:rsidR="00AB078C" w:rsidRPr="002D12DD">
        <w:rPr>
          <w:sz w:val="22"/>
          <w:szCs w:val="22"/>
          <w:lang w:val="ky-KG"/>
        </w:rPr>
        <w:t xml:space="preserve"> 10</w:t>
      </w:r>
      <w:r w:rsidRPr="002D12DD">
        <w:rPr>
          <w:sz w:val="22"/>
          <w:szCs w:val="22"/>
          <w:lang w:val="ky-KG"/>
        </w:rPr>
        <w:t xml:space="preserve"> группа   </w:t>
      </w:r>
    </w:p>
    <w:p w:rsidR="00F96331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5 курс </w:t>
      </w:r>
      <w:r w:rsidR="00AB078C" w:rsidRPr="002D12DD">
        <w:rPr>
          <w:sz w:val="22"/>
          <w:szCs w:val="22"/>
          <w:lang w:val="ky-KG"/>
        </w:rPr>
        <w:t>200</w:t>
      </w: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студент </w:t>
      </w:r>
      <w:r w:rsidR="00AB078C" w:rsidRPr="002D12DD">
        <w:rPr>
          <w:sz w:val="22"/>
          <w:szCs w:val="22"/>
          <w:lang w:val="ky-KG"/>
        </w:rPr>
        <w:t xml:space="preserve">    15</w:t>
      </w:r>
      <w:r w:rsidRPr="002D12DD">
        <w:rPr>
          <w:sz w:val="22"/>
          <w:szCs w:val="22"/>
          <w:lang w:val="ky-KG"/>
        </w:rPr>
        <w:t xml:space="preserve"> группа    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bCs/>
          <w:color w:val="2161A7"/>
          <w:sz w:val="22"/>
          <w:szCs w:val="22"/>
        </w:rPr>
        <w:t>Усулдук – методикалык иштер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</w:rPr>
        <w:t>  Кафедранын ишчилери окуу-усулдук жа</w:t>
      </w:r>
      <w:r w:rsidRPr="002D12DD">
        <w:rPr>
          <w:color w:val="333333"/>
          <w:sz w:val="22"/>
          <w:szCs w:val="22"/>
          <w:lang w:val="ky-KG"/>
        </w:rPr>
        <w:t>ңы ыкмаларды, көргөзмө куралдарды, практикада фантомдук  столдо көрсөтүү, лекцияларды мультимедиалык ыкмаларды колдонуу, студенттер суроо жооп иретинде баарлашуу. Клиникалык базада келген оорулуларды пратикалык ой жүгүртүүсүн өстүрүү жана мануалдык сезип үйрөнүү практикасын колдонобуз.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  <w:lang w:val="ky-KG"/>
        </w:rPr>
        <w:t> Кафедра ишчилери окутуп  үйрөтүүчү видеофильмдердин  практикасын тартып студенттерге көрсөтүү, окуу педогикалык ишкерлигин өркүндөтүү, эл аралык конференцияларга катышуу, стоматологиялык съездге катышуу, билимин өркүндөтүү.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  <w:lang w:val="ky-KG"/>
        </w:rPr>
        <w:t> </w:t>
      </w:r>
      <w:r w:rsidRPr="002D12DD">
        <w:rPr>
          <w:bCs/>
          <w:color w:val="2161A7"/>
          <w:sz w:val="22"/>
          <w:szCs w:val="22"/>
          <w:lang w:val="ky-KG"/>
        </w:rPr>
        <w:t>К</w:t>
      </w:r>
      <w:r w:rsidRPr="002D12DD">
        <w:rPr>
          <w:bCs/>
          <w:color w:val="2161A7"/>
          <w:sz w:val="22"/>
          <w:szCs w:val="22"/>
        </w:rPr>
        <w:t>афедр</w:t>
      </w:r>
      <w:r w:rsidRPr="002D12DD">
        <w:rPr>
          <w:bCs/>
          <w:color w:val="2161A7"/>
          <w:sz w:val="22"/>
          <w:szCs w:val="22"/>
          <w:lang w:val="ky-KG"/>
        </w:rPr>
        <w:t>анын илимий- изилдөө иштери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bCs/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</w:rPr>
        <w:t> </w:t>
      </w:r>
      <w:r w:rsidRPr="002D12DD">
        <w:rPr>
          <w:color w:val="333333"/>
          <w:sz w:val="22"/>
          <w:szCs w:val="22"/>
          <w:lang w:val="ky-KG"/>
        </w:rPr>
        <w:t>К</w:t>
      </w:r>
      <w:r w:rsidRPr="002D12DD">
        <w:rPr>
          <w:color w:val="333333"/>
          <w:sz w:val="22"/>
          <w:szCs w:val="22"/>
        </w:rPr>
        <w:t>афедр</w:t>
      </w:r>
      <w:r w:rsidRPr="002D12DD">
        <w:rPr>
          <w:color w:val="333333"/>
          <w:sz w:val="22"/>
          <w:szCs w:val="22"/>
          <w:lang w:val="ky-KG"/>
        </w:rPr>
        <w:t>ада илимий иштер төмөнкү темада</w:t>
      </w:r>
      <w:r w:rsidRPr="002D12DD">
        <w:rPr>
          <w:color w:val="333333"/>
          <w:sz w:val="22"/>
          <w:szCs w:val="22"/>
        </w:rPr>
        <w:t>: </w:t>
      </w:r>
      <w:r w:rsidRPr="002D12DD">
        <w:rPr>
          <w:bCs/>
          <w:color w:val="333333"/>
          <w:sz w:val="22"/>
          <w:szCs w:val="22"/>
        </w:rPr>
        <w:t>«Разработка методов хирургической реабилитации больных с дефектами, деформациями, повреждениями и воспалительными процессами ЧЛО и зубного ряда».</w:t>
      </w:r>
      <w:r w:rsidRPr="002D12DD">
        <w:rPr>
          <w:bCs/>
          <w:color w:val="333333"/>
          <w:sz w:val="22"/>
          <w:szCs w:val="22"/>
          <w:lang w:val="ky-KG"/>
        </w:rPr>
        <w:t xml:space="preserve"> 2006 –жылга кафедра ишкерлери 10  патент ачылыш жана 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bCs/>
          <w:color w:val="333333"/>
          <w:sz w:val="22"/>
          <w:szCs w:val="22"/>
          <w:lang w:val="ky-KG"/>
        </w:rPr>
        <w:t>8 рацпредложениясы жасалды.</w:t>
      </w:r>
      <w:r w:rsidRPr="002D12DD">
        <w:rPr>
          <w:color w:val="333333"/>
          <w:sz w:val="22"/>
          <w:szCs w:val="22"/>
          <w:lang w:val="ky-KG"/>
        </w:rPr>
        <w:t xml:space="preserve">  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bCs/>
          <w:color w:val="2161A7"/>
          <w:sz w:val="22"/>
          <w:szCs w:val="22"/>
          <w:lang w:val="ky-KG"/>
        </w:rPr>
      </w:pPr>
      <w:r w:rsidRPr="002D12DD">
        <w:rPr>
          <w:bCs/>
          <w:color w:val="2161A7"/>
          <w:sz w:val="22"/>
          <w:szCs w:val="22"/>
          <w:lang w:val="ky-KG"/>
        </w:rPr>
        <w:t>Студенттердин илимий – изилдөө иштери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  <w:lang w:val="ky-KG"/>
        </w:rPr>
        <w:t>   Кафедрада хирургия стоматологиясы боюнча илимий студенттик ийрим иштеп келет.Окутуучулардын жетегинде жылда кафедра ичинде, кийин факультет аралык конференция өтүп алдыңкы оорундарды ээлеп келет. 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“</w:t>
      </w:r>
      <w:r w:rsidR="001C4EC8" w:rsidRPr="002D12DD">
        <w:rPr>
          <w:b/>
          <w:sz w:val="22"/>
          <w:szCs w:val="22"/>
          <w:lang w:val="ky-KG"/>
        </w:rPr>
        <w:t>Х</w:t>
      </w:r>
      <w:r w:rsidRPr="002D12DD">
        <w:rPr>
          <w:b/>
          <w:sz w:val="22"/>
          <w:szCs w:val="22"/>
        </w:rPr>
        <w:t>ирургиялык жана курактык стоматология» кафедрасынын изден</w:t>
      </w:r>
      <w:r w:rsidRPr="002D12DD">
        <w:rPr>
          <w:b/>
          <w:sz w:val="22"/>
          <w:szCs w:val="22"/>
          <w:lang w:val="ky-KG"/>
        </w:rPr>
        <w:t>үү</w:t>
      </w:r>
      <w:r w:rsidRPr="002D12DD">
        <w:rPr>
          <w:b/>
          <w:sz w:val="22"/>
          <w:szCs w:val="22"/>
        </w:rPr>
        <w:t>чүл</w:t>
      </w:r>
      <w:r w:rsidRPr="002D12DD">
        <w:rPr>
          <w:b/>
          <w:sz w:val="22"/>
          <w:szCs w:val="22"/>
          <w:lang w:val="ky-KG"/>
        </w:rPr>
        <w:t>ө</w:t>
      </w:r>
      <w:r w:rsidRPr="002D12DD">
        <w:rPr>
          <w:b/>
          <w:sz w:val="22"/>
          <w:szCs w:val="22"/>
        </w:rPr>
        <w:t>р</w:t>
      </w:r>
      <w:r w:rsidRPr="002D12DD">
        <w:rPr>
          <w:b/>
          <w:sz w:val="22"/>
          <w:szCs w:val="22"/>
          <w:lang w:val="ky-KG"/>
        </w:rPr>
        <w:t>ү.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1.Пакыров Ж.К., темасы: «Ош областынын жана Ош шаарынын элдеринин тиштерин патологиялык  жешилүүсү,   дарылоонун клиникасы жана эпидемиологиясы».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2013-2014-жылдары студенттер үчүн  окуу - усулдук колдонмолор иштелип, басмага сунушталды.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1. Стоматологиялык терминдердин түшүндүрмө сөздүгү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2. Тиштин катуу ткандарын дарылоо усулдары жана этиологиялык патогенез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3. Аскердик токсикологиянын усулдук колдонмосу.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4. Тиштин бекем ткандарындагы кемчиликтерди дарылоо, иш катарына металлды, керамиканы, фарфорду пайдалануу ыкмалары.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5. Тиштин бекем ткандарындагы кемчиликтерге жасалма тишчелерди даярдоонун технологиясы.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6. Стоматология адистигиндеги врачтын квалификациялык м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зд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м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с</w:t>
      </w:r>
      <w:r w:rsidRPr="002D12DD">
        <w:rPr>
          <w:sz w:val="22"/>
          <w:szCs w:val="22"/>
          <w:lang w:val="ky-KG"/>
        </w:rPr>
        <w:t>ү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7. Пародонтоз илдетине чалдыккан ооруларды дарылоо клиникасы.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8. Пародонтоз оорусун дарылоонун ортопедиялык ыкмалары.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noProof/>
          <w:sz w:val="22"/>
          <w:szCs w:val="22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32385</wp:posOffset>
            </wp:positionV>
            <wp:extent cx="2857500" cy="1956435"/>
            <wp:effectExtent l="19050" t="0" r="0" b="0"/>
            <wp:wrapThrough wrapText="bothSides">
              <wp:wrapPolygon edited="0">
                <wp:start x="-144" y="0"/>
                <wp:lineTo x="-144" y="21453"/>
                <wp:lineTo x="21600" y="21453"/>
                <wp:lineTo x="21600" y="0"/>
                <wp:lineTo x="-144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813" w:rsidRPr="002D12DD">
        <w:rPr>
          <w:noProof/>
          <w:sz w:val="22"/>
          <w:szCs w:val="22"/>
        </w:rPr>
        <w:t>В</w:t>
      </w:r>
      <w:r w:rsidRPr="002D12DD">
        <w:rPr>
          <w:sz w:val="22"/>
          <w:szCs w:val="22"/>
        </w:rPr>
        <w:t xml:space="preserve">         </w:t>
      </w:r>
      <w:r w:rsidRPr="002D12DD">
        <w:rPr>
          <w:noProof/>
          <w:sz w:val="22"/>
          <w:szCs w:val="22"/>
        </w:rPr>
        <w:drawing>
          <wp:inline distT="0" distB="0" distL="0" distR="0">
            <wp:extent cx="2686050" cy="1952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30" w:rsidRPr="00840859" w:rsidRDefault="00840859" w:rsidP="00840859">
      <w:pPr>
        <w:ind w:left="284"/>
        <w:contextualSpacing/>
        <w:rPr>
          <w:b/>
          <w:sz w:val="22"/>
          <w:szCs w:val="22"/>
          <w:lang w:val="ky-KG"/>
        </w:rPr>
      </w:pPr>
      <w:r>
        <w:rPr>
          <w:b/>
          <w:sz w:val="22"/>
          <w:szCs w:val="22"/>
        </w:rPr>
        <w:t xml:space="preserve">                   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</w:rPr>
      </w:pPr>
      <w:r w:rsidRPr="002D12DD">
        <w:rPr>
          <w:b/>
          <w:sz w:val="22"/>
          <w:szCs w:val="22"/>
        </w:rPr>
        <w:t xml:space="preserve"> Кафедранын аудиториялык фонду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Стоматология кафедрасы  уч  кабат</w:t>
      </w:r>
      <w:r w:rsidRPr="002D12DD">
        <w:rPr>
          <w:sz w:val="22"/>
          <w:szCs w:val="22"/>
          <w:lang w:val="ky-KG"/>
        </w:rPr>
        <w:t xml:space="preserve">туу  имаратта       </w:t>
      </w:r>
      <w:r w:rsidRPr="002D12DD">
        <w:rPr>
          <w:sz w:val="22"/>
          <w:szCs w:val="22"/>
        </w:rPr>
        <w:t>жайгашкан.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12 окуу-дарылоо каанасы, 2 лекциялык залы, 2 тиш жасоо лабораториясы, 1 фантомдук каанасы, 1 стерилизациялык каанасы бар.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Имараттын жалпы аянты </w:t>
      </w:r>
      <w:r w:rsidRPr="002D12DD">
        <w:rPr>
          <w:b/>
          <w:i/>
          <w:sz w:val="22"/>
          <w:szCs w:val="22"/>
        </w:rPr>
        <w:t>2236,4</w:t>
      </w:r>
      <w:r w:rsidRPr="002D12DD">
        <w:rPr>
          <w:sz w:val="22"/>
          <w:szCs w:val="22"/>
        </w:rPr>
        <w:t xml:space="preserve"> кв. метрди 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з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т.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Кааналарда 11 бормашина жайгаштырылган. Бул окуу процессинде студенттердин</w:t>
      </w:r>
      <w:r w:rsidRPr="002D12DD">
        <w:rPr>
          <w:sz w:val="22"/>
          <w:szCs w:val="22"/>
          <w:lang w:val="ky-KG"/>
        </w:rPr>
        <w:t xml:space="preserve">  толук билим алып, өз алдынча иштеп, окуу процессин ийгиликтүү жүргүзүшүнө толук  шарт түзүлгон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Ошондой эле  Ош областык  стоматология поликлиникасы , Ош шаардык №1, №2 стоматологиялык поликлиникасы, областтык оорукананын 30 орундуу стоматологиялык бет-жаак хирургиялык бөлүмү  менен келишим бар.  Билим сапатын көтөрүү, окуу процессин эффективдүү жетектөө максатында кафедрада усулдук көрсөткүчтөр иштелип чыккан.</w:t>
      </w:r>
    </w:p>
    <w:p w:rsidR="00D34330" w:rsidRPr="002D12DD" w:rsidRDefault="00D34330" w:rsidP="0099143C">
      <w:pPr>
        <w:numPr>
          <w:ilvl w:val="0"/>
          <w:numId w:val="3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Модулдук-рейтингдик система;</w:t>
      </w:r>
    </w:p>
    <w:p w:rsidR="00D34330" w:rsidRPr="002D12DD" w:rsidRDefault="00D34330" w:rsidP="0099143C">
      <w:pPr>
        <w:numPr>
          <w:ilvl w:val="0"/>
          <w:numId w:val="3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Зачеттук-экзамендик сессия;</w:t>
      </w:r>
    </w:p>
    <w:p w:rsidR="00D34330" w:rsidRPr="002D12DD" w:rsidRDefault="00D34330" w:rsidP="0099143C">
      <w:pPr>
        <w:numPr>
          <w:ilvl w:val="0"/>
          <w:numId w:val="3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Студенттердин 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з алдынча ишт</w:t>
      </w:r>
      <w:r w:rsidRPr="002D12DD">
        <w:rPr>
          <w:sz w:val="22"/>
          <w:szCs w:val="22"/>
          <w:lang w:val="ky-KG"/>
        </w:rPr>
        <w:t>өө</w:t>
      </w:r>
      <w:r w:rsidRPr="002D12DD">
        <w:rPr>
          <w:sz w:val="22"/>
          <w:szCs w:val="22"/>
        </w:rPr>
        <w:t>с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 кабыл алуусунун жобосу.</w:t>
      </w:r>
    </w:p>
    <w:p w:rsidR="0029263F" w:rsidRPr="002D12DD" w:rsidRDefault="00D34330" w:rsidP="00B262E6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Кафедра мамлекеттик программаларды ишке ашырууга да активд</w:t>
      </w:r>
      <w:r w:rsidRPr="002D12DD">
        <w:rPr>
          <w:sz w:val="22"/>
          <w:szCs w:val="22"/>
          <w:lang w:val="ky-KG"/>
        </w:rPr>
        <w:t>үү</w:t>
      </w:r>
      <w:r w:rsidRPr="002D12DD">
        <w:rPr>
          <w:sz w:val="22"/>
          <w:szCs w:val="22"/>
        </w:rPr>
        <w:t xml:space="preserve"> катышат. Кафедранын эмгек жамааты каржылоонун кошумча булактарын издеп, Ата Мекендик жана чет элдик гранттар менен активд</w:t>
      </w:r>
      <w:r w:rsidRPr="002D12DD">
        <w:rPr>
          <w:sz w:val="22"/>
          <w:szCs w:val="22"/>
          <w:lang w:val="ky-KG"/>
        </w:rPr>
        <w:t>үү</w:t>
      </w:r>
      <w:r w:rsidRPr="002D12DD">
        <w:rPr>
          <w:sz w:val="22"/>
          <w:szCs w:val="22"/>
        </w:rPr>
        <w:t xml:space="preserve"> иш алып барат. Жакынкы жана алыскы жогорку окуу жайлары менен тыгыз байланышта. Алар: КММА (Бишкек), Кыргыз Славян Университети (Бишкек), 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шт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к Корея жана Америка  мамлекеттери.</w:t>
      </w:r>
    </w:p>
    <w:p w:rsidR="0029263F" w:rsidRPr="002D12DD" w:rsidRDefault="0029263F" w:rsidP="0099143C">
      <w:pPr>
        <w:pStyle w:val="a9"/>
        <w:numPr>
          <w:ilvl w:val="0"/>
          <w:numId w:val="4"/>
        </w:numPr>
        <w:ind w:left="284" w:firstLine="0"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профессордук – окутуучулук курамынын сапаттык  көрсөткүчү жана алардын аткарган кызматы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Абдурайым уулу Мелис- кафедранын окутуучусу., 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Абдыкайымов А.Т.- кафедранын завучу, окутуучу, лектор.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Ешиев А.М.-профессор, кафедранын окутуучусу., лектор,(совместитель)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Курманбеков Н.О.-илимий иштери боюнча башчысы, лектор.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Латипов А.Л.-кафедранын окутуучусу. 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Мамажакып уулу Ж.- каф.башчысы., лектор.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Миңбаев Замирбек Улукбекович –окутуучу.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Мырзашева Н.М.-кафедранын ага куратору, окутуучу.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Орозбекова М.М.- кафедранын окутуучусу 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Пакыров Ж.К.- кафедранын улук окутуучусу., декандын орун басары.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Рыскулов Ж.Э.- кафедранын окутуучусу. 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Токтобаева Ш.А.-кафедранын окутуучусу. (совместитель)</w:t>
      </w:r>
    </w:p>
    <w:p w:rsidR="0029263F" w:rsidRPr="002D12DD" w:rsidRDefault="0029263F" w:rsidP="00840859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 xml:space="preserve">              Жардамчы персоналдар.</w:t>
      </w:r>
    </w:p>
    <w:p w:rsidR="0029263F" w:rsidRPr="002D12DD" w:rsidRDefault="0029263F" w:rsidP="00840859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  1.Кулуева Н.Ж. –улук лаборант.</w:t>
      </w:r>
    </w:p>
    <w:p w:rsidR="00341AB0" w:rsidRPr="00840859" w:rsidRDefault="0029263F" w:rsidP="00840859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               Кафедрадагы  кызматкерлердин жалпы  саны 13 алардын ичинен профессордук –   окутуучулук составы -12, илимий даражалуу-3, илимий даражасы жок -9, жардамчы персоналдар -1.</w:t>
      </w:r>
    </w:p>
    <w:p w:rsidR="00945CFF" w:rsidRPr="002D12DD" w:rsidRDefault="00945CFF" w:rsidP="00840859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окутуучулары жана көмөкчү персоналдары боюнча маалымат                                                                                                              1- таблица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2552"/>
        <w:gridCol w:w="2126"/>
        <w:gridCol w:w="1417"/>
      </w:tblGrid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sz w:val="22"/>
                <w:szCs w:val="22"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sz w:val="22"/>
                <w:szCs w:val="22"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Фамилясы,аты жөнү.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sz w:val="22"/>
                <w:szCs w:val="22"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 xml:space="preserve">Ээлеген кызматы 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sz w:val="22"/>
                <w:szCs w:val="22"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Конкурстан өткөн мөөнөтү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sz w:val="22"/>
                <w:szCs w:val="22"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эскертүү</w:t>
            </w: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Абдурайым уулу Мелис 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пр.№332/1  30.09.13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Абдыкайымов Аданбек </w:t>
            </w:r>
            <w:r w:rsidRPr="002D12DD">
              <w:rPr>
                <w:sz w:val="22"/>
                <w:szCs w:val="22"/>
                <w:lang w:val="ky-KG"/>
              </w:rPr>
              <w:lastRenderedPageBreak/>
              <w:t xml:space="preserve">Темирович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lastRenderedPageBreak/>
              <w:t xml:space="preserve">кафедранын завучу, </w:t>
            </w:r>
            <w:r w:rsidRPr="002D12DD">
              <w:rPr>
                <w:sz w:val="22"/>
                <w:szCs w:val="22"/>
                <w:lang w:val="ky-KG"/>
              </w:rPr>
              <w:lastRenderedPageBreak/>
              <w:t>окутуучу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lastRenderedPageBreak/>
              <w:t xml:space="preserve">Пр.№394/1 </w:t>
            </w:r>
            <w:r w:rsidRPr="002D12DD">
              <w:rPr>
                <w:sz w:val="22"/>
                <w:szCs w:val="22"/>
                <w:lang w:val="ky-KG"/>
              </w:rPr>
              <w:lastRenderedPageBreak/>
              <w:t>17.10.2012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lastRenderedPageBreak/>
              <w:t>3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Ешиев Абдырахман Молдалиевич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д.м.н.,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профессор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Пр.№510/2  22.11.12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Курманбеков Нурсултан Осмонкулович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Пр.№407/1 03.11.2014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Латипов Абдибаит Латипович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Пр.№510/1 22.11.12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6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Мамажакып уулу Жаңыбай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Каф.башчы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м.и.к.,доцент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Пр.№57  12.02.11.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7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Миңбаев Замирбек Улукбекович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Пр.97/1 03.03.2016.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Мырзашева Назгүл Мамасадыковна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  <w:lang w:val="ky-KG"/>
              </w:rPr>
              <w:t>к.м.н.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Пр.№81/1 28.02.2013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Орозбекова Мээрим Муратбековна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Пр.№60/1 11.02.08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10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Пакыров Жеңишбек Каракозуевич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улук 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  <w:lang w:val="ky-KG"/>
              </w:rPr>
              <w:t>декан.орун.басары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Пр.№2855  17.12.09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11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Рыскулов Жаныбек Эргешович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Пр.№2398/1 22.10.13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12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Токтобаева Шайлоогүл Асановна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Пр.№48/1  18.02.09.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13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Кулуева Нүргүл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улук лаборант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 №69/1 27.07.12.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</w:p>
        </w:tc>
      </w:tr>
    </w:tbl>
    <w:p w:rsidR="00276470" w:rsidRPr="002D12DD" w:rsidRDefault="00276470" w:rsidP="00AD12A8">
      <w:pPr>
        <w:contextualSpacing/>
        <w:rPr>
          <w:b/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илимий ишмердүүлүгү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илимий багыттагы темалары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Кыргыз Республикасынын 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 xml:space="preserve">штүк 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р</w:t>
      </w:r>
      <w:r w:rsidRPr="002D12DD">
        <w:rPr>
          <w:sz w:val="22"/>
          <w:szCs w:val="22"/>
          <w:lang w:val="ky-KG"/>
        </w:rPr>
        <w:t>өө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г</w:t>
      </w:r>
      <w:r w:rsidRPr="002D12DD">
        <w:rPr>
          <w:sz w:val="22"/>
          <w:szCs w:val="22"/>
          <w:lang w:val="ky-KG"/>
        </w:rPr>
        <w:t xml:space="preserve">ү </w:t>
      </w:r>
      <w:r w:rsidRPr="002D12DD">
        <w:rPr>
          <w:sz w:val="22"/>
          <w:szCs w:val="22"/>
        </w:rPr>
        <w:t>элдердин стоматологиялык ооруларынын алдына алуу, дарылоо жана кыскартуу;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Шилекей бездеринин шишик ооруларынын алдына алуу;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Пародонтоз жана суукка урунуудан пайда болгон ооруларды дарылоодо табигый жаратылыш ресурстарды пайдалануу;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Ооз к</w:t>
      </w:r>
      <w:r w:rsidRPr="002D12DD">
        <w:rPr>
          <w:sz w:val="22"/>
          <w:szCs w:val="22"/>
          <w:lang w:val="ky-KG"/>
        </w:rPr>
        <w:t>өң</w:t>
      </w:r>
      <w:r w:rsidRPr="002D12DD">
        <w:rPr>
          <w:sz w:val="22"/>
          <w:szCs w:val="22"/>
        </w:rPr>
        <w:t>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й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 xml:space="preserve">н ыйлаакчаларынын шишик оорулары жана рак оорусу. 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Кыргыз Республикасынын элдерине стоматологиялык жардам к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рс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т</w:t>
      </w:r>
      <w:r w:rsidRPr="002D12DD">
        <w:rPr>
          <w:sz w:val="22"/>
          <w:szCs w:val="22"/>
          <w:lang w:val="ky-KG"/>
        </w:rPr>
        <w:t>үү</w:t>
      </w:r>
      <w:r w:rsidRPr="002D12DD">
        <w:rPr>
          <w:sz w:val="22"/>
          <w:szCs w:val="22"/>
        </w:rPr>
        <w:t xml:space="preserve"> жана социалдык-гигиеналык </w:t>
      </w:r>
      <w:r w:rsidRPr="002D12DD">
        <w:rPr>
          <w:sz w:val="22"/>
          <w:szCs w:val="22"/>
          <w:lang w:val="ky-KG"/>
        </w:rPr>
        <w:t xml:space="preserve"> и</w:t>
      </w:r>
      <w:r w:rsidRPr="002D12DD">
        <w:rPr>
          <w:sz w:val="22"/>
          <w:szCs w:val="22"/>
        </w:rPr>
        <w:t>зилд</w:t>
      </w:r>
      <w:r w:rsidRPr="002D12DD">
        <w:rPr>
          <w:sz w:val="22"/>
          <w:szCs w:val="22"/>
          <w:lang w:val="ky-KG"/>
        </w:rPr>
        <w:t>өө</w:t>
      </w:r>
      <w:r w:rsidRPr="002D12DD">
        <w:rPr>
          <w:sz w:val="22"/>
          <w:szCs w:val="22"/>
        </w:rPr>
        <w:t xml:space="preserve"> ж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рг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з</w:t>
      </w:r>
      <w:r w:rsidRPr="002D12DD">
        <w:rPr>
          <w:sz w:val="22"/>
          <w:szCs w:val="22"/>
          <w:lang w:val="ky-KG"/>
        </w:rPr>
        <w:t>үү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Учурда стоматология кафедрасында 55 жогору  макала, 42 материалдык колдонмо жарыяланып, студенттер менен врачтар пайдаланууда. </w:t>
      </w:r>
    </w:p>
    <w:p w:rsidR="00D34330" w:rsidRPr="002D12DD" w:rsidRDefault="00D34330" w:rsidP="00840859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2010-жылы изденүүчү  Мамажакып уулу Жаңыбай кандидаттык диссертациясын  жактады,  темасы;  “Рак и  предопухолевые  заболевания   слизистой   оболочки  полости  рта в Ошской области”  жетекчиси   м.и.д.   Жумабаев </w:t>
      </w:r>
      <w:r w:rsidR="00945CFF" w:rsidRPr="002D12DD">
        <w:rPr>
          <w:sz w:val="22"/>
          <w:szCs w:val="22"/>
          <w:lang w:val="ky-KG"/>
        </w:rPr>
        <w:t>А.Р.  м.и.к.    Арстанбеков М.А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Хирургиялык стоматология кафедрасынын  материалдык –техникалык базасы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        2015-2016-окуу жылында студенттердин билим алуусуна жана өз алдынча иштөөсү үчүн стоматология кафедрасы төмөндөгүдөй жабдыктар менен камсыз болду: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1. Учурдун талабына ылайык бормашинадан </w:t>
      </w:r>
      <w:r w:rsidRPr="002D12DD">
        <w:rPr>
          <w:sz w:val="22"/>
          <w:szCs w:val="22"/>
          <w:lang w:val="ky-KG"/>
        </w:rPr>
        <w:t>2</w:t>
      </w:r>
      <w:r w:rsidRPr="002D12DD">
        <w:rPr>
          <w:sz w:val="22"/>
          <w:szCs w:val="22"/>
        </w:rPr>
        <w:t xml:space="preserve"> даана.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2. Рентген аппаратынан 1 даана.  3.</w:t>
      </w:r>
      <w:r w:rsidRPr="002D12DD">
        <w:rPr>
          <w:sz w:val="22"/>
          <w:szCs w:val="22"/>
          <w:lang w:val="ky-KG"/>
        </w:rPr>
        <w:t xml:space="preserve"> Компьютер 2 даана,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4.</w:t>
      </w:r>
      <w:r w:rsidRPr="002D12DD">
        <w:rPr>
          <w:sz w:val="22"/>
          <w:szCs w:val="22"/>
        </w:rPr>
        <w:t xml:space="preserve"> </w:t>
      </w:r>
      <w:r w:rsidRPr="002D12DD">
        <w:rPr>
          <w:sz w:val="22"/>
          <w:szCs w:val="22"/>
          <w:lang w:val="ky-KG"/>
        </w:rPr>
        <w:t xml:space="preserve">Мультимединый аппарат.1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7.интерактивдуу доска-1</w:t>
      </w:r>
    </w:p>
    <w:p w:rsidR="00D34330" w:rsidRPr="002D12DD" w:rsidRDefault="00D34330" w:rsidP="00AD12A8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>Стерилизациялык каана санитардык гигиеналык бардык талаптарга жооп берерлик де</w:t>
      </w:r>
      <w:r w:rsidRPr="002D12DD">
        <w:rPr>
          <w:sz w:val="22"/>
          <w:szCs w:val="22"/>
          <w:lang w:val="ky-KG"/>
        </w:rPr>
        <w:t>ң</w:t>
      </w:r>
      <w:r w:rsidRPr="002D12DD">
        <w:rPr>
          <w:sz w:val="22"/>
          <w:szCs w:val="22"/>
        </w:rPr>
        <w:t>гээлде кайрадан ремонттолду.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</w:rPr>
      </w:pPr>
    </w:p>
    <w:tbl>
      <w:tblPr>
        <w:tblW w:w="9842" w:type="dxa"/>
        <w:jc w:val="center"/>
        <w:tblInd w:w="-18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4253"/>
        <w:gridCol w:w="1417"/>
        <w:gridCol w:w="851"/>
        <w:gridCol w:w="1559"/>
        <w:gridCol w:w="1134"/>
      </w:tblGrid>
      <w:tr w:rsidR="00276470" w:rsidRPr="002D12DD" w:rsidTr="00AD12A8">
        <w:trPr>
          <w:trHeight w:hRule="exact" w:val="43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/>
                <w:bCs/>
                <w:color w:val="000000"/>
                <w:spacing w:val="6"/>
                <w:sz w:val="22"/>
                <w:szCs w:val="22"/>
              </w:rPr>
              <w:t>Аталышы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/>
                <w:sz w:val="22"/>
                <w:szCs w:val="22"/>
              </w:rPr>
            </w:pPr>
            <w:r w:rsidRPr="002D12DD">
              <w:rPr>
                <w:b/>
                <w:color w:val="000000"/>
                <w:spacing w:val="4"/>
                <w:sz w:val="22"/>
                <w:szCs w:val="22"/>
              </w:rPr>
              <w:t>инв.номери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/>
                <w:bCs/>
                <w:color w:val="000000"/>
                <w:spacing w:val="-2"/>
                <w:sz w:val="22"/>
                <w:szCs w:val="22"/>
              </w:rPr>
              <w:t>саны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/>
                <w:bCs/>
                <w:color w:val="000000"/>
                <w:spacing w:val="2"/>
                <w:sz w:val="22"/>
                <w:szCs w:val="22"/>
              </w:rPr>
              <w:t>баасы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/>
                <w:bCs/>
                <w:color w:val="000000"/>
                <w:spacing w:val="1"/>
                <w:sz w:val="22"/>
                <w:szCs w:val="22"/>
              </w:rPr>
              <w:t>сумма</w:t>
            </w:r>
          </w:p>
        </w:tc>
      </w:tr>
      <w:tr w:rsidR="00276470" w:rsidRPr="002D12DD" w:rsidTr="00AD12A8">
        <w:trPr>
          <w:trHeight w:hRule="exact" w:val="31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Кости черепа человека (смонтированный на одной подставке)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10200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10200</w:t>
            </w:r>
          </w:p>
        </w:tc>
      </w:tr>
      <w:tr w:rsidR="00276470" w:rsidRPr="002D12DD" w:rsidTr="00AD12A8">
        <w:trPr>
          <w:trHeight w:hRule="exact" w:val="39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 1 тренажер универсальный для стоматологов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5899-5902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22995-50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68986,50</w:t>
            </w:r>
          </w:p>
        </w:tc>
      </w:tr>
      <w:tr w:rsidR="00276470" w:rsidRPr="002D12DD" w:rsidTr="00AD12A8">
        <w:trPr>
          <w:trHeight w:hRule="exact" w:val="33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Слайдоскоп «Лети - 60 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3000</w:t>
            </w:r>
          </w:p>
        </w:tc>
      </w:tr>
      <w:tr w:rsidR="00276470" w:rsidRPr="002D12DD" w:rsidTr="00AD12A8">
        <w:trPr>
          <w:trHeight w:hRule="exact" w:val="34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В 39 челюсть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2670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10680</w:t>
            </w:r>
          </w:p>
        </w:tc>
      </w:tr>
      <w:tr w:rsidR="00276470" w:rsidRPr="002D12DD" w:rsidTr="00AD12A8">
        <w:trPr>
          <w:trHeight w:hRule="exact" w:val="35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Р4 череп человека (смонтированный)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5906-5908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6580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19740</w:t>
            </w:r>
          </w:p>
        </w:tc>
      </w:tr>
      <w:tr w:rsidR="00276470" w:rsidRPr="002D12DD" w:rsidTr="00AD12A8">
        <w:trPr>
          <w:trHeight w:hRule="exact" w:val="33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Тренажер универсальный для стоматологов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5153-5156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87800</w:t>
            </w:r>
          </w:p>
        </w:tc>
      </w:tr>
      <w:tr w:rsidR="00276470" w:rsidRPr="002D12DD" w:rsidTr="00840859">
        <w:trPr>
          <w:trHeight w:hRule="exact" w:val="52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 xml:space="preserve">В24 мышцы головы и шеи </w:t>
            </w:r>
            <w:r w:rsidRPr="002D12D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(6 </w:t>
            </w:r>
            <w:r w:rsidRPr="002D12DD">
              <w:rPr>
                <w:color w:val="000000"/>
                <w:spacing w:val="8"/>
                <w:sz w:val="22"/>
                <w:szCs w:val="22"/>
              </w:rPr>
              <w:t>планшетов,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16"/>
                <w:sz w:val="22"/>
                <w:szCs w:val="22"/>
              </w:rPr>
              <w:t>5911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5"/>
                <w:sz w:val="22"/>
                <w:szCs w:val="22"/>
              </w:rPr>
              <w:t>6970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6970</w:t>
            </w:r>
          </w:p>
        </w:tc>
      </w:tr>
      <w:tr w:rsidR="00276470" w:rsidRPr="002D12DD" w:rsidTr="00AD12A8">
        <w:trPr>
          <w:trHeight w:hRule="exact" w:val="34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 xml:space="preserve">Е 4 мышцы головы и </w:t>
            </w:r>
            <w:r w:rsidRPr="002D12DD">
              <w:rPr>
                <w:color w:val="000000"/>
                <w:spacing w:val="7"/>
                <w:sz w:val="22"/>
                <w:szCs w:val="22"/>
              </w:rPr>
              <w:t>шеи (6 планшетов,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30230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302?:</w:t>
            </w:r>
          </w:p>
        </w:tc>
      </w:tr>
      <w:tr w:rsidR="00276470" w:rsidRPr="002D12DD" w:rsidTr="00840859">
        <w:trPr>
          <w:trHeight w:hRule="exact" w:val="494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7"/>
                <w:sz w:val="22"/>
                <w:szCs w:val="22"/>
              </w:rPr>
              <w:t xml:space="preserve">Н5 виды переломов нижней </w:t>
            </w:r>
            <w:r w:rsidRPr="002D12DD">
              <w:rPr>
                <w:color w:val="000000"/>
                <w:spacing w:val="5"/>
                <w:sz w:val="22"/>
                <w:szCs w:val="22"/>
              </w:rPr>
              <w:t>челюсти (комп.из 8 моделей)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5904-5905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10"/>
                <w:sz w:val="22"/>
                <w:szCs w:val="22"/>
              </w:rPr>
              <w:t>8160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pacing w:val="-15"/>
                <w:sz w:val="22"/>
                <w:szCs w:val="22"/>
              </w:rPr>
              <w:t>16320</w:t>
            </w:r>
          </w:p>
        </w:tc>
      </w:tr>
      <w:tr w:rsidR="00276470" w:rsidRPr="002D12DD" w:rsidTr="00840859">
        <w:trPr>
          <w:trHeight w:hRule="exact" w:val="28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бормашина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92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Кийим шкафы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8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стол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86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7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доска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8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блок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8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  <w:lang w:val="ky-KG"/>
              </w:rPr>
            </w:pPr>
            <w:r w:rsidRPr="002D12DD">
              <w:rPr>
                <w:color w:val="000000"/>
                <w:sz w:val="22"/>
                <w:szCs w:val="22"/>
              </w:rPr>
              <w:t>1</w:t>
            </w:r>
            <w:r w:rsidRPr="002D12DD">
              <w:rPr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таблица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74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  <w:lang w:val="ky-KG"/>
              </w:rPr>
            </w:pPr>
            <w:r w:rsidRPr="002D12DD">
              <w:rPr>
                <w:color w:val="000000"/>
                <w:sz w:val="22"/>
                <w:szCs w:val="22"/>
                <w:lang w:val="ky-KG"/>
              </w:rPr>
              <w:t>17</w:t>
            </w:r>
          </w:p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мультимедиа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7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  <w:lang w:val="ky-KG"/>
              </w:rPr>
            </w:pPr>
            <w:r w:rsidRPr="002D12DD">
              <w:rPr>
                <w:color w:val="000000"/>
                <w:sz w:val="22"/>
                <w:szCs w:val="22"/>
              </w:rPr>
              <w:t>1</w:t>
            </w:r>
            <w:r w:rsidRPr="002D12DD">
              <w:rPr>
                <w:color w:val="000000"/>
                <w:sz w:val="22"/>
                <w:szCs w:val="22"/>
                <w:lang w:val="ky-KG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 xml:space="preserve">Аудиториянын саны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68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Лекциялык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8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9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принтер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  <w:tr w:rsidR="00276470" w:rsidRPr="002D12DD" w:rsidTr="00840859">
        <w:trPr>
          <w:trHeight w:hRule="exact" w:val="26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z w:val="22"/>
                <w:szCs w:val="22"/>
              </w:rPr>
            </w:pPr>
            <w:r w:rsidRPr="002D12D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Китеп шкафы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  <w:sz w:val="22"/>
                <w:szCs w:val="22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  <w:sz w:val="22"/>
                <w:szCs w:val="22"/>
              </w:rPr>
            </w:pPr>
          </w:p>
        </w:tc>
      </w:tr>
    </w:tbl>
    <w:p w:rsidR="00D34330" w:rsidRPr="00840859" w:rsidRDefault="00D34330" w:rsidP="00840859">
      <w:pPr>
        <w:contextualSpacing/>
        <w:rPr>
          <w:b/>
          <w:sz w:val="22"/>
          <w:szCs w:val="22"/>
          <w:lang w:val="ky-KG"/>
        </w:rPr>
      </w:pPr>
    </w:p>
    <w:p w:rsidR="000149D8" w:rsidRPr="002D12DD" w:rsidRDefault="000149D8" w:rsidP="00AD12A8">
      <w:pPr>
        <w:pStyle w:val="a9"/>
        <w:tabs>
          <w:tab w:val="left" w:pos="0"/>
          <w:tab w:val="left" w:pos="567"/>
          <w:tab w:val="left" w:pos="3708"/>
          <w:tab w:val="left" w:pos="7999"/>
        </w:tabs>
        <w:ind w:left="284"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Аудиториялык фонд (аудитория, кабинет, кафедра) жөнүндө маалымат</w:t>
      </w:r>
    </w:p>
    <w:p w:rsidR="000149D8" w:rsidRPr="002D12DD" w:rsidRDefault="000149D8" w:rsidP="00AD12A8">
      <w:pPr>
        <w:pStyle w:val="a9"/>
        <w:tabs>
          <w:tab w:val="left" w:pos="0"/>
          <w:tab w:val="left" w:pos="567"/>
          <w:tab w:val="left" w:pos="3708"/>
          <w:tab w:val="left" w:pos="7999"/>
        </w:tabs>
        <w:ind w:left="284"/>
        <w:rPr>
          <w:sz w:val="22"/>
          <w:szCs w:val="22"/>
          <w:lang w:val="ky-KG"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50"/>
        <w:gridCol w:w="1418"/>
        <w:gridCol w:w="1276"/>
        <w:gridCol w:w="2268"/>
        <w:gridCol w:w="1417"/>
        <w:gridCol w:w="2126"/>
      </w:tblGrid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аудитория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Вмест-</w:t>
            </w:r>
          </w:p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мость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площадь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спец. лек.практ.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факультет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предмет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кафедра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расположение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33м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Дет.тер.ст.и кариесология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33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32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Дет.тер.ст.онкостом.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202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33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ГСП-1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18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 Масалиева14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ГСП-2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12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Ул.Кулатова 25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ЧЛХ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15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Ул.В-Увамская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ЧЛХ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9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Ул.В-Увамская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ГСП-2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9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Кариесология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Ул.Кулатова 25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ООСП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24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Ул.Алибастрова27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Мед.колл.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24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Дет.тер.стом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Ул.петрова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Лекцион-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ный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162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Лекция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 xml:space="preserve">Стоматология 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rPr>
                <w:sz w:val="22"/>
                <w:szCs w:val="22"/>
              </w:rPr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</w:tbl>
    <w:p w:rsidR="000149D8" w:rsidRPr="002D12DD" w:rsidRDefault="000149D8" w:rsidP="00AD12A8">
      <w:pPr>
        <w:pStyle w:val="a9"/>
        <w:tabs>
          <w:tab w:val="left" w:pos="0"/>
          <w:tab w:val="left" w:pos="567"/>
          <w:tab w:val="left" w:pos="3708"/>
          <w:tab w:val="left" w:pos="7999"/>
        </w:tabs>
        <w:ind w:left="284"/>
        <w:rPr>
          <w:sz w:val="22"/>
          <w:szCs w:val="22"/>
          <w:lang w:val="ky-KG"/>
        </w:rPr>
      </w:pPr>
    </w:p>
    <w:p w:rsidR="00D34330" w:rsidRPr="002D12DD" w:rsidRDefault="00D34330" w:rsidP="00AD12A8">
      <w:pPr>
        <w:ind w:left="284"/>
        <w:contextualSpacing/>
        <w:rPr>
          <w:sz w:val="22"/>
          <w:szCs w:val="22"/>
        </w:rPr>
      </w:pPr>
    </w:p>
    <w:sectPr w:rsidR="00D34330" w:rsidRPr="002D12DD" w:rsidSect="004C14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57" w:rsidRDefault="00560557" w:rsidP="008B4B5E">
      <w:r>
        <w:separator/>
      </w:r>
    </w:p>
  </w:endnote>
  <w:endnote w:type="continuationSeparator" w:id="1">
    <w:p w:rsidR="00560557" w:rsidRDefault="00560557" w:rsidP="008B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6" w:rsidRDefault="00E316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6" w:rsidRDefault="00E316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6" w:rsidRDefault="00E31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57" w:rsidRDefault="00560557" w:rsidP="008B4B5E">
      <w:r>
        <w:separator/>
      </w:r>
    </w:p>
  </w:footnote>
  <w:footnote w:type="continuationSeparator" w:id="1">
    <w:p w:rsidR="00560557" w:rsidRDefault="00560557" w:rsidP="008B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6" w:rsidRDefault="00E316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4D" w:rsidRDefault="005605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6" w:rsidRDefault="00E31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571"/>
    <w:multiLevelType w:val="hybridMultilevel"/>
    <w:tmpl w:val="1D08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044B"/>
    <w:multiLevelType w:val="hybridMultilevel"/>
    <w:tmpl w:val="9326B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E022FB"/>
    <w:multiLevelType w:val="hybridMultilevel"/>
    <w:tmpl w:val="D93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40DE"/>
    <w:multiLevelType w:val="hybridMultilevel"/>
    <w:tmpl w:val="ACCC8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D673F"/>
    <w:multiLevelType w:val="hybridMultilevel"/>
    <w:tmpl w:val="55A2786E"/>
    <w:lvl w:ilvl="0" w:tplc="E370E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330"/>
    <w:rsid w:val="000149D8"/>
    <w:rsid w:val="000473B9"/>
    <w:rsid w:val="00074813"/>
    <w:rsid w:val="001C4EC8"/>
    <w:rsid w:val="00276470"/>
    <w:rsid w:val="0029263F"/>
    <w:rsid w:val="002D12DD"/>
    <w:rsid w:val="00341AB0"/>
    <w:rsid w:val="003C329D"/>
    <w:rsid w:val="004C149D"/>
    <w:rsid w:val="00560557"/>
    <w:rsid w:val="00761565"/>
    <w:rsid w:val="00840859"/>
    <w:rsid w:val="008713F8"/>
    <w:rsid w:val="008B4B5E"/>
    <w:rsid w:val="00945CFF"/>
    <w:rsid w:val="0099143C"/>
    <w:rsid w:val="00AA1A08"/>
    <w:rsid w:val="00AB078C"/>
    <w:rsid w:val="00AD12A8"/>
    <w:rsid w:val="00B262E6"/>
    <w:rsid w:val="00B45D76"/>
    <w:rsid w:val="00C6736B"/>
    <w:rsid w:val="00D20C39"/>
    <w:rsid w:val="00D34330"/>
    <w:rsid w:val="00E2451D"/>
    <w:rsid w:val="00E31686"/>
    <w:rsid w:val="00E70401"/>
    <w:rsid w:val="00E82D08"/>
    <w:rsid w:val="00ED6148"/>
    <w:rsid w:val="00F83A69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43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3433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3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43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34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1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2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1698</Words>
  <Characters>9680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2016-01-13T07:28:00Z</dcterms:created>
  <dcterms:modified xsi:type="dcterms:W3CDTF">2016-09-19T08:19:00Z</dcterms:modified>
</cp:coreProperties>
</file>